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68E5" w:rsidRPr="00485715" w:rsidRDefault="00073F5C" w:rsidP="00BB2E49">
      <w:pPr>
        <w:outlineLvl w:val="0"/>
        <w:rPr>
          <w:rFonts w:ascii="Arial Black" w:hAnsi="Arial Black"/>
          <w:szCs w:val="24"/>
        </w:rPr>
      </w:pPr>
      <w:r w:rsidRPr="00485715">
        <w:rPr>
          <w:rFonts w:ascii="Arial Black" w:hAnsi="Arial Black"/>
          <w:szCs w:val="24"/>
        </w:rPr>
        <w:t xml:space="preserve">Chapter </w:t>
      </w:r>
      <w:r w:rsidR="004F68E5">
        <w:rPr>
          <w:rFonts w:ascii="Arial Black" w:hAnsi="Arial Black"/>
          <w:szCs w:val="24"/>
        </w:rPr>
        <w:t>3</w:t>
      </w:r>
    </w:p>
    <w:p w:rsidR="004F68E5" w:rsidRPr="00485715" w:rsidRDefault="004F68E5" w:rsidP="004F68E5">
      <w:pPr>
        <w:rPr>
          <w:rFonts w:ascii="Arial Black" w:hAnsi="Arial Black"/>
          <w:sz w:val="32"/>
          <w:szCs w:val="32"/>
        </w:rPr>
      </w:pPr>
    </w:p>
    <w:p w:rsidR="004F68E5" w:rsidRPr="00485715" w:rsidRDefault="008C5A8C" w:rsidP="004F68E5">
      <w:pPr>
        <w:pBdr>
          <w:bottom w:val="single" w:sz="4" w:space="1" w:color="auto"/>
        </w:pBdr>
        <w:spacing w:line="240" w:lineRule="auto"/>
        <w:rPr>
          <w:rFonts w:ascii="Arial Black" w:hAnsi="Arial Black"/>
          <w:sz w:val="32"/>
          <w:szCs w:val="32"/>
        </w:rPr>
      </w:pPr>
      <w:r>
        <w:rPr>
          <w:rFonts w:ascii="Arial Black" w:hAnsi="Arial Black"/>
          <w:sz w:val="32"/>
          <w:szCs w:val="32"/>
        </w:rPr>
        <w:t>STATEMENT OF INCOME AND COMPREHENSIVE INCOME</w:t>
      </w:r>
    </w:p>
    <w:p w:rsidR="004F68E5" w:rsidRDefault="004F68E5">
      <w:pPr>
        <w:pStyle w:val="Header"/>
        <w:tabs>
          <w:tab w:val="clear" w:pos="4320"/>
          <w:tab w:val="clear" w:pos="8640"/>
        </w:tabs>
        <w:rPr>
          <w:rFonts w:ascii="Times New Roman" w:hAnsi="Times New Roman"/>
          <w:b/>
          <w:u w:val="single"/>
        </w:rPr>
      </w:pPr>
    </w:p>
    <w:p w:rsidR="00A17648" w:rsidRDefault="00A17648" w:rsidP="00BB2E49">
      <w:pPr>
        <w:pStyle w:val="Header"/>
        <w:tabs>
          <w:tab w:val="clear" w:pos="4320"/>
          <w:tab w:val="clear" w:pos="8640"/>
        </w:tabs>
        <w:outlineLvl w:val="0"/>
        <w:rPr>
          <w:rFonts w:ascii="Times New Roman" w:hAnsi="Times New Roman"/>
          <w:b/>
          <w:u w:val="single"/>
        </w:rPr>
      </w:pPr>
      <w:r>
        <w:rPr>
          <w:rFonts w:ascii="Times New Roman" w:hAnsi="Times New Roman"/>
          <w:b/>
          <w:u w:val="single"/>
        </w:rPr>
        <w:t>Learning Objectives</w:t>
      </w:r>
      <w:r>
        <w:rPr>
          <w:rFonts w:ascii="Times New Roman" w:hAnsi="Times New Roman"/>
        </w:rPr>
        <w:t xml:space="preserve"> </w:t>
      </w:r>
    </w:p>
    <w:p w:rsidR="00A17648" w:rsidRDefault="00A17648">
      <w:pPr>
        <w:rPr>
          <w:rFonts w:ascii="Times New Roman" w:hAnsi="Times New Roman"/>
        </w:rPr>
      </w:pPr>
    </w:p>
    <w:p w:rsidR="00A17648" w:rsidRDefault="00A17648">
      <w:pPr>
        <w:pStyle w:val="BodyText"/>
        <w:rPr>
          <w:sz w:val="24"/>
        </w:rPr>
      </w:pPr>
      <w:r>
        <w:rPr>
          <w:sz w:val="24"/>
        </w:rPr>
        <w:t>After you have studied this chapter, you should: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1"/>
        <w:gridCol w:w="7873"/>
      </w:tblGrid>
      <w:tr w:rsidR="00F07DCC" w:rsidRPr="009A7577" w:rsidTr="00F07DCC">
        <w:tc>
          <w:tcPr>
            <w:tcW w:w="911" w:type="dxa"/>
          </w:tcPr>
          <w:p w:rsidR="00F07DCC" w:rsidRPr="00F07DCC" w:rsidRDefault="00F07DCC">
            <w:pPr>
              <w:rPr>
                <w:rFonts w:ascii="Palatino Linotype" w:hAnsi="Palatino Linotype" w:cs="Arial"/>
                <w:szCs w:val="24"/>
              </w:rPr>
            </w:pPr>
            <w:r w:rsidRPr="00F07DCC">
              <w:rPr>
                <w:rFonts w:ascii="Palatino Linotype" w:hAnsi="Palatino Linotype" w:cs="Arial"/>
                <w:szCs w:val="24"/>
              </w:rPr>
              <w:t>LO-1</w:t>
            </w:r>
          </w:p>
        </w:tc>
        <w:tc>
          <w:tcPr>
            <w:tcW w:w="8089" w:type="dxa"/>
          </w:tcPr>
          <w:p w:rsidR="00F07DCC" w:rsidRPr="00F07DCC" w:rsidRDefault="00F07DCC">
            <w:pPr>
              <w:rPr>
                <w:rFonts w:ascii="Palatino Linotype" w:hAnsi="Palatino Linotype" w:cs="Arial"/>
                <w:szCs w:val="24"/>
              </w:rPr>
            </w:pPr>
            <w:r w:rsidRPr="00F07DCC">
              <w:rPr>
                <w:rFonts w:ascii="Palatino Linotype" w:hAnsi="Palatino Linotype" w:cs="Arial"/>
                <w:szCs w:val="24"/>
              </w:rPr>
              <w:t xml:space="preserve">Understand the difference between accounting, economic and comprehensive income. </w:t>
            </w:r>
          </w:p>
        </w:tc>
      </w:tr>
      <w:tr w:rsidR="00F07DCC" w:rsidRPr="009A7577" w:rsidTr="00F07DCC">
        <w:tc>
          <w:tcPr>
            <w:tcW w:w="911" w:type="dxa"/>
          </w:tcPr>
          <w:p w:rsidR="00F07DCC" w:rsidRPr="00F07DCC" w:rsidRDefault="00F07DCC">
            <w:pPr>
              <w:rPr>
                <w:rFonts w:ascii="Palatino Linotype" w:hAnsi="Palatino Linotype" w:cs="Arial"/>
                <w:szCs w:val="24"/>
              </w:rPr>
            </w:pPr>
            <w:r w:rsidRPr="00F07DCC">
              <w:rPr>
                <w:rFonts w:ascii="Palatino Linotype" w:hAnsi="Palatino Linotype" w:cs="Arial"/>
                <w:szCs w:val="24"/>
              </w:rPr>
              <w:t>LO-2</w:t>
            </w:r>
          </w:p>
        </w:tc>
        <w:tc>
          <w:tcPr>
            <w:tcW w:w="8089" w:type="dxa"/>
          </w:tcPr>
          <w:p w:rsidR="00F07DCC" w:rsidRPr="00F07DCC" w:rsidRDefault="00F07DCC">
            <w:pPr>
              <w:rPr>
                <w:rFonts w:ascii="Palatino Linotype" w:hAnsi="Palatino Linotype" w:cs="Arial"/>
                <w:szCs w:val="24"/>
              </w:rPr>
            </w:pPr>
            <w:r w:rsidRPr="00F07DCC">
              <w:rPr>
                <w:rFonts w:ascii="Palatino Linotype" w:hAnsi="Palatino Linotype" w:cs="Arial"/>
                <w:szCs w:val="24"/>
              </w:rPr>
              <w:t xml:space="preserve">Prepare the ‘profit and loss’ section of the statement of comprehensive income under alternative presentations. </w:t>
            </w:r>
          </w:p>
        </w:tc>
      </w:tr>
      <w:tr w:rsidR="00F07DCC" w:rsidRPr="009A7577" w:rsidTr="00F07DCC">
        <w:tc>
          <w:tcPr>
            <w:tcW w:w="911" w:type="dxa"/>
          </w:tcPr>
          <w:p w:rsidR="00F07DCC" w:rsidRPr="00F07DCC" w:rsidRDefault="00F07DCC">
            <w:pPr>
              <w:rPr>
                <w:rFonts w:ascii="Palatino Linotype" w:hAnsi="Palatino Linotype" w:cs="Arial"/>
                <w:szCs w:val="24"/>
              </w:rPr>
            </w:pPr>
            <w:r w:rsidRPr="00F07DCC">
              <w:rPr>
                <w:rFonts w:ascii="Palatino Linotype" w:hAnsi="Palatino Linotype" w:cs="Arial"/>
                <w:szCs w:val="24"/>
              </w:rPr>
              <w:t>LO-3</w:t>
            </w:r>
          </w:p>
        </w:tc>
        <w:tc>
          <w:tcPr>
            <w:tcW w:w="8089" w:type="dxa"/>
          </w:tcPr>
          <w:p w:rsidR="00F07DCC" w:rsidRPr="00F07DCC" w:rsidRDefault="00F07DCC">
            <w:pPr>
              <w:rPr>
                <w:rFonts w:ascii="Palatino Linotype" w:hAnsi="Palatino Linotype" w:cs="Arial"/>
                <w:szCs w:val="24"/>
              </w:rPr>
            </w:pPr>
            <w:r w:rsidRPr="00F07DCC">
              <w:rPr>
                <w:rFonts w:ascii="Palatino Linotype" w:hAnsi="Palatino Linotype" w:cs="Arial"/>
                <w:szCs w:val="24"/>
              </w:rPr>
              <w:t xml:space="preserve">Compare intraperiod tax allocation with interperiod tax allocation. </w:t>
            </w:r>
          </w:p>
        </w:tc>
      </w:tr>
      <w:tr w:rsidR="00F07DCC" w:rsidRPr="009A7577" w:rsidTr="00F07DCC">
        <w:tc>
          <w:tcPr>
            <w:tcW w:w="911" w:type="dxa"/>
          </w:tcPr>
          <w:p w:rsidR="00F07DCC" w:rsidRPr="00F07DCC" w:rsidRDefault="00F07DCC">
            <w:pPr>
              <w:rPr>
                <w:rFonts w:ascii="Palatino Linotype" w:hAnsi="Palatino Linotype" w:cs="Arial"/>
                <w:szCs w:val="24"/>
              </w:rPr>
            </w:pPr>
            <w:r w:rsidRPr="00F07DCC">
              <w:rPr>
                <w:rFonts w:ascii="Palatino Linotype" w:hAnsi="Palatino Linotype" w:cs="Arial"/>
                <w:szCs w:val="24"/>
              </w:rPr>
              <w:t>LO-4</w:t>
            </w:r>
          </w:p>
        </w:tc>
        <w:tc>
          <w:tcPr>
            <w:tcW w:w="8089" w:type="dxa"/>
          </w:tcPr>
          <w:p w:rsidR="00F07DCC" w:rsidRPr="00F07DCC" w:rsidRDefault="00F07DCC">
            <w:pPr>
              <w:rPr>
                <w:rFonts w:ascii="Palatino Linotype" w:hAnsi="Palatino Linotype" w:cs="Arial"/>
                <w:szCs w:val="24"/>
              </w:rPr>
            </w:pPr>
            <w:r w:rsidRPr="00F07DCC">
              <w:rPr>
                <w:rFonts w:ascii="Palatino Linotype" w:hAnsi="Palatino Linotype" w:cs="Arial"/>
                <w:szCs w:val="24"/>
              </w:rPr>
              <w:t xml:space="preserve">Explain the accounting asset disposals, discontinued operations  and restructurings. </w:t>
            </w:r>
          </w:p>
        </w:tc>
      </w:tr>
      <w:tr w:rsidR="00F07DCC" w:rsidRPr="009A7577" w:rsidTr="00F07DCC">
        <w:tc>
          <w:tcPr>
            <w:tcW w:w="911" w:type="dxa"/>
          </w:tcPr>
          <w:p w:rsidR="00F07DCC" w:rsidRPr="00F07DCC" w:rsidRDefault="00F07DCC">
            <w:pPr>
              <w:rPr>
                <w:rFonts w:ascii="Palatino Linotype" w:hAnsi="Palatino Linotype" w:cs="Arial"/>
                <w:szCs w:val="24"/>
              </w:rPr>
            </w:pPr>
            <w:r w:rsidRPr="00F07DCC">
              <w:rPr>
                <w:rFonts w:ascii="Palatino Linotype" w:hAnsi="Palatino Linotype" w:cs="Arial"/>
                <w:szCs w:val="24"/>
              </w:rPr>
              <w:t>LO-5</w:t>
            </w:r>
          </w:p>
        </w:tc>
        <w:tc>
          <w:tcPr>
            <w:tcW w:w="8089" w:type="dxa"/>
          </w:tcPr>
          <w:p w:rsidR="00F07DCC" w:rsidRPr="00F07DCC" w:rsidRDefault="00F07DCC">
            <w:pPr>
              <w:rPr>
                <w:rFonts w:ascii="Palatino Linotype" w:hAnsi="Palatino Linotype" w:cs="Arial"/>
                <w:szCs w:val="24"/>
              </w:rPr>
            </w:pPr>
            <w:r w:rsidRPr="00F07DCC">
              <w:rPr>
                <w:rFonts w:ascii="Palatino Linotype" w:hAnsi="Palatino Linotype" w:cs="Arial"/>
                <w:szCs w:val="24"/>
              </w:rPr>
              <w:t xml:space="preserve">Contrast the  income statement presentation under Canadian ASPE with that in IFRS. </w:t>
            </w:r>
          </w:p>
        </w:tc>
      </w:tr>
      <w:tr w:rsidR="00F07DCC" w:rsidRPr="009A7577" w:rsidTr="00F07DCC">
        <w:tc>
          <w:tcPr>
            <w:tcW w:w="911" w:type="dxa"/>
          </w:tcPr>
          <w:p w:rsidR="00F07DCC" w:rsidRPr="00F07DCC" w:rsidRDefault="00F07DCC">
            <w:pPr>
              <w:rPr>
                <w:rFonts w:ascii="Palatino Linotype" w:hAnsi="Palatino Linotype" w:cs="Arial"/>
                <w:szCs w:val="24"/>
              </w:rPr>
            </w:pPr>
            <w:r w:rsidRPr="00F07DCC">
              <w:rPr>
                <w:rFonts w:ascii="Palatino Linotype" w:hAnsi="Palatino Linotype" w:cs="Arial"/>
                <w:szCs w:val="24"/>
              </w:rPr>
              <w:t>LO-1</w:t>
            </w:r>
          </w:p>
        </w:tc>
        <w:tc>
          <w:tcPr>
            <w:tcW w:w="8089" w:type="dxa"/>
          </w:tcPr>
          <w:p w:rsidR="00F07DCC" w:rsidRPr="00F07DCC" w:rsidRDefault="00F07DCC">
            <w:pPr>
              <w:rPr>
                <w:rFonts w:ascii="Palatino Linotype" w:hAnsi="Palatino Linotype" w:cs="Arial"/>
                <w:szCs w:val="24"/>
              </w:rPr>
            </w:pPr>
            <w:r w:rsidRPr="00F07DCC">
              <w:rPr>
                <w:rFonts w:ascii="Palatino Linotype" w:hAnsi="Palatino Linotype" w:cs="Arial"/>
                <w:szCs w:val="24"/>
              </w:rPr>
              <w:t xml:space="preserve">Understand the difference between accounting, economic and comprehensive income. </w:t>
            </w:r>
          </w:p>
        </w:tc>
      </w:tr>
    </w:tbl>
    <w:p w:rsidR="00A17648" w:rsidRDefault="00A17648">
      <w:pPr>
        <w:rPr>
          <w:rFonts w:ascii="Times New Roman" w:hAnsi="Times New Roman"/>
          <w:b/>
          <w:u w:val="single"/>
        </w:rPr>
      </w:pPr>
    </w:p>
    <w:p w:rsidR="00A17648" w:rsidRDefault="00A17648" w:rsidP="00BB2E49">
      <w:pPr>
        <w:outlineLvl w:val="0"/>
        <w:rPr>
          <w:rFonts w:ascii="Times New Roman" w:hAnsi="Times New Roman"/>
        </w:rPr>
      </w:pPr>
      <w:r>
        <w:rPr>
          <w:rFonts w:ascii="Times New Roman" w:hAnsi="Times New Roman"/>
          <w:b/>
          <w:u w:val="single"/>
        </w:rPr>
        <w:t>Lecture Notes</w:t>
      </w:r>
      <w:r>
        <w:rPr>
          <w:rFonts w:ascii="Times New Roman" w:hAnsi="Times New Roman"/>
        </w:rPr>
        <w:t xml:space="preserve"> </w:t>
      </w:r>
    </w:p>
    <w:p w:rsidR="006A5820" w:rsidRPr="006A5820" w:rsidRDefault="00A17648" w:rsidP="002831CB">
      <w:pPr>
        <w:pStyle w:val="bchoptx"/>
        <w:spacing w:after="120" w:line="240" w:lineRule="auto"/>
        <w:ind w:firstLine="0"/>
        <w:rPr>
          <w:rFonts w:ascii="Times New Roman" w:hAnsi="Times New Roman" w:cs="Times New Roman"/>
          <w:color w:val="auto"/>
          <w:sz w:val="24"/>
          <w:lang w:eastAsia="en-US" w:bidi="ar-SA"/>
        </w:rPr>
      </w:pPr>
      <w:r w:rsidRPr="006A5820">
        <w:rPr>
          <w:rFonts w:ascii="Times New Roman" w:hAnsi="Times New Roman" w:cs="Times New Roman"/>
          <w:color w:val="auto"/>
          <w:sz w:val="24"/>
          <w:lang w:eastAsia="en-US" w:bidi="ar-SA"/>
        </w:rPr>
        <w:t xml:space="preserve">The </w:t>
      </w:r>
      <w:r w:rsidR="009C1952" w:rsidRPr="006A5820">
        <w:rPr>
          <w:rFonts w:ascii="Times New Roman" w:hAnsi="Times New Roman" w:cs="Times New Roman"/>
          <w:color w:val="auto"/>
          <w:sz w:val="24"/>
          <w:lang w:eastAsia="en-US" w:bidi="ar-SA"/>
        </w:rPr>
        <w:t>statements of income and comprehensive income are</w:t>
      </w:r>
      <w:r w:rsidRPr="006A5820">
        <w:rPr>
          <w:rFonts w:ascii="Times New Roman" w:hAnsi="Times New Roman" w:cs="Times New Roman"/>
          <w:color w:val="auto"/>
          <w:sz w:val="24"/>
          <w:lang w:eastAsia="en-US" w:bidi="ar-SA"/>
        </w:rPr>
        <w:t xml:space="preserve"> the primary source of information for a company’s current profit performance. This chapter focuses on how information is displayed or disclosed on the income statement</w:t>
      </w:r>
      <w:r w:rsidR="009C1952" w:rsidRPr="006A5820">
        <w:rPr>
          <w:rFonts w:ascii="Times New Roman" w:hAnsi="Times New Roman" w:cs="Times New Roman"/>
          <w:color w:val="auto"/>
          <w:sz w:val="24"/>
          <w:lang w:eastAsia="en-US" w:bidi="ar-SA"/>
        </w:rPr>
        <w:t xml:space="preserve"> and which items are </w:t>
      </w:r>
      <w:r w:rsidR="009B0DF6" w:rsidRPr="006A5820">
        <w:rPr>
          <w:rFonts w:ascii="Times New Roman" w:hAnsi="Times New Roman" w:cs="Times New Roman"/>
          <w:color w:val="auto"/>
          <w:sz w:val="24"/>
          <w:lang w:eastAsia="en-US" w:bidi="ar-SA"/>
        </w:rPr>
        <w:t>displayed i</w:t>
      </w:r>
      <w:r w:rsidR="003238EA" w:rsidRPr="006A5820">
        <w:rPr>
          <w:rFonts w:ascii="Times New Roman" w:hAnsi="Times New Roman" w:cs="Times New Roman"/>
          <w:color w:val="auto"/>
          <w:sz w:val="24"/>
          <w:lang w:eastAsia="en-US" w:bidi="ar-SA"/>
        </w:rPr>
        <w:t xml:space="preserve">n </w:t>
      </w:r>
      <w:r w:rsidR="009C1952" w:rsidRPr="006A5820">
        <w:rPr>
          <w:rFonts w:ascii="Times New Roman" w:hAnsi="Times New Roman" w:cs="Times New Roman"/>
          <w:color w:val="auto"/>
          <w:sz w:val="24"/>
          <w:lang w:eastAsia="en-US" w:bidi="ar-SA"/>
        </w:rPr>
        <w:t>other comprehensive income</w:t>
      </w:r>
      <w:r w:rsidR="006A5820" w:rsidRPr="006A5820">
        <w:rPr>
          <w:rFonts w:ascii="Times New Roman" w:hAnsi="Times New Roman" w:cs="Times New Roman"/>
          <w:color w:val="auto"/>
          <w:sz w:val="24"/>
          <w:lang w:eastAsia="en-US" w:bidi="ar-SA"/>
        </w:rPr>
        <w:t>. One item that requires special classification in the income statement is the reporting of discontinued operations. The main body of this chapter will conclude with a section on “discontinued operations” as well as other types of asset disposals.</w:t>
      </w:r>
    </w:p>
    <w:p w:rsidR="003238EA" w:rsidRDefault="003238EA">
      <w:pPr>
        <w:rPr>
          <w:rFonts w:ascii="Times New Roman" w:hAnsi="Times New Roman"/>
        </w:rPr>
      </w:pPr>
    </w:p>
    <w:p w:rsidR="00A17648" w:rsidRDefault="00A17648">
      <w:pPr>
        <w:pStyle w:val="Head1"/>
        <w:rPr>
          <w:rFonts w:ascii="Times New Roman" w:hAnsi="Times New Roman"/>
        </w:rPr>
      </w:pPr>
      <w:r>
        <w:rPr>
          <w:rFonts w:ascii="Times New Roman" w:hAnsi="Times New Roman"/>
        </w:rPr>
        <w:t>1. NATURE OF INCOME</w:t>
      </w:r>
    </w:p>
    <w:p w:rsidR="00DA397E" w:rsidRDefault="002043A1">
      <w:pPr>
        <w:rPr>
          <w:rFonts w:ascii="Times New Roman" w:hAnsi="Times New Roman"/>
        </w:rPr>
      </w:pPr>
      <w:r>
        <w:rPr>
          <w:rFonts w:ascii="Times New Roman" w:hAnsi="Times New Roman"/>
        </w:rPr>
        <w:t>The word “income” can mean an</w:t>
      </w:r>
      <w:r w:rsidR="004A4BF0">
        <w:rPr>
          <w:rFonts w:ascii="Times New Roman" w:hAnsi="Times New Roman"/>
        </w:rPr>
        <w:t>y</w:t>
      </w:r>
      <w:r>
        <w:rPr>
          <w:rFonts w:ascii="Times New Roman" w:hAnsi="Times New Roman"/>
        </w:rPr>
        <w:t xml:space="preserve"> numbe</w:t>
      </w:r>
      <w:r w:rsidR="00E56105">
        <w:rPr>
          <w:rFonts w:ascii="Times New Roman" w:hAnsi="Times New Roman"/>
        </w:rPr>
        <w:t>r of different things.  In IFRS</w:t>
      </w:r>
      <w:r>
        <w:rPr>
          <w:rFonts w:ascii="Times New Roman" w:hAnsi="Times New Roman"/>
        </w:rPr>
        <w:t xml:space="preserve"> income </w:t>
      </w:r>
      <w:r w:rsidR="00E56105">
        <w:rPr>
          <w:rFonts w:ascii="Times New Roman" w:hAnsi="Times New Roman"/>
        </w:rPr>
        <w:t xml:space="preserve">is used to describe </w:t>
      </w:r>
      <w:r>
        <w:rPr>
          <w:rFonts w:ascii="Times New Roman" w:hAnsi="Times New Roman"/>
        </w:rPr>
        <w:t>revenues</w:t>
      </w:r>
      <w:r w:rsidR="00E56105">
        <w:rPr>
          <w:rFonts w:ascii="Times New Roman" w:hAnsi="Times New Roman"/>
        </w:rPr>
        <w:t xml:space="preserve"> and gains (all amounts flowing into the entity) while “profit or loss” is used instead of “net income”</w:t>
      </w:r>
      <w:r>
        <w:rPr>
          <w:rFonts w:ascii="Times New Roman" w:hAnsi="Times New Roman"/>
        </w:rPr>
        <w:t xml:space="preserve">.  Largely due to this confusion, most Canadian companies avoid the use of “income” and instead use </w:t>
      </w:r>
      <w:r w:rsidRPr="002043A1">
        <w:rPr>
          <w:rFonts w:ascii="Times New Roman" w:hAnsi="Times New Roman"/>
          <w:i/>
        </w:rPr>
        <w:t>revenue</w:t>
      </w:r>
      <w:r w:rsidR="00E56105">
        <w:rPr>
          <w:rFonts w:ascii="Times New Roman" w:hAnsi="Times New Roman"/>
          <w:i/>
        </w:rPr>
        <w:t>, gains</w:t>
      </w:r>
      <w:r w:rsidRPr="002043A1">
        <w:rPr>
          <w:rFonts w:ascii="Times New Roman" w:hAnsi="Times New Roman"/>
          <w:i/>
        </w:rPr>
        <w:t xml:space="preserve"> </w:t>
      </w:r>
      <w:r>
        <w:rPr>
          <w:rFonts w:ascii="Times New Roman" w:hAnsi="Times New Roman"/>
        </w:rPr>
        <w:t xml:space="preserve">and </w:t>
      </w:r>
      <w:r w:rsidRPr="002043A1">
        <w:rPr>
          <w:rFonts w:ascii="Times New Roman" w:hAnsi="Times New Roman"/>
          <w:i/>
        </w:rPr>
        <w:t>earnings</w:t>
      </w:r>
      <w:r>
        <w:rPr>
          <w:rFonts w:ascii="Times New Roman" w:hAnsi="Times New Roman"/>
        </w:rPr>
        <w:t>.</w:t>
      </w:r>
    </w:p>
    <w:p w:rsidR="002043A1" w:rsidRDefault="002043A1">
      <w:pPr>
        <w:rPr>
          <w:rFonts w:ascii="Times New Roman" w:hAnsi="Times New Roman"/>
        </w:rPr>
      </w:pPr>
    </w:p>
    <w:p w:rsidR="002043A1" w:rsidRPr="002F41CF" w:rsidRDefault="002043A1">
      <w:pPr>
        <w:rPr>
          <w:rFonts w:ascii="Times New Roman" w:hAnsi="Times New Roman"/>
          <w:b/>
        </w:rPr>
      </w:pPr>
      <w:r w:rsidRPr="002F41CF">
        <w:rPr>
          <w:rFonts w:ascii="Times New Roman" w:hAnsi="Times New Roman"/>
          <w:b/>
        </w:rPr>
        <w:t>Accounting versus Economic Income</w:t>
      </w:r>
    </w:p>
    <w:p w:rsidR="00A17648" w:rsidRDefault="00A17648">
      <w:pPr>
        <w:rPr>
          <w:rFonts w:ascii="Times New Roman" w:hAnsi="Times New Roman"/>
        </w:rPr>
      </w:pPr>
      <w:r>
        <w:rPr>
          <w:rFonts w:ascii="Times New Roman" w:hAnsi="Times New Roman"/>
          <w:b/>
        </w:rPr>
        <w:t>Economic income</w:t>
      </w:r>
      <w:r>
        <w:rPr>
          <w:rFonts w:ascii="Times New Roman" w:hAnsi="Times New Roman"/>
        </w:rPr>
        <w:t xml:space="preserve"> measures an increase in wealth and uses the </w:t>
      </w:r>
      <w:r>
        <w:rPr>
          <w:rFonts w:ascii="Times New Roman" w:hAnsi="Times New Roman"/>
          <w:b/>
        </w:rPr>
        <w:t>events approach</w:t>
      </w:r>
      <w:r>
        <w:rPr>
          <w:rFonts w:ascii="Times New Roman" w:hAnsi="Times New Roman"/>
        </w:rPr>
        <w:t xml:space="preserve">. </w:t>
      </w:r>
      <w:r>
        <w:rPr>
          <w:rFonts w:ascii="Times New Roman" w:hAnsi="Times New Roman"/>
          <w:b/>
        </w:rPr>
        <w:t xml:space="preserve">Accounting income </w:t>
      </w:r>
      <w:r w:rsidR="00F0255E">
        <w:rPr>
          <w:rFonts w:ascii="Times New Roman" w:hAnsi="Times New Roman"/>
        </w:rPr>
        <w:t xml:space="preserve">has </w:t>
      </w:r>
      <w:r w:rsidR="00837CCE">
        <w:rPr>
          <w:rFonts w:ascii="Times New Roman" w:hAnsi="Times New Roman"/>
        </w:rPr>
        <w:t>in the past</w:t>
      </w:r>
      <w:r w:rsidR="00F0255E">
        <w:rPr>
          <w:rFonts w:ascii="Times New Roman" w:hAnsi="Times New Roman"/>
        </w:rPr>
        <w:t xml:space="preserve"> been</w:t>
      </w:r>
      <w:r>
        <w:rPr>
          <w:rFonts w:ascii="Times New Roman" w:hAnsi="Times New Roman"/>
        </w:rPr>
        <w:t xml:space="preserve"> based </w:t>
      </w:r>
      <w:r w:rsidR="00F0255E">
        <w:rPr>
          <w:rFonts w:ascii="Times New Roman" w:hAnsi="Times New Roman"/>
        </w:rPr>
        <w:t xml:space="preserve">strictly </w:t>
      </w:r>
      <w:r>
        <w:rPr>
          <w:rFonts w:ascii="Times New Roman" w:hAnsi="Times New Roman"/>
        </w:rPr>
        <w:t xml:space="preserve">on the historical cost principle and the </w:t>
      </w:r>
      <w:r>
        <w:rPr>
          <w:rFonts w:ascii="Times New Roman" w:hAnsi="Times New Roman"/>
          <w:b/>
        </w:rPr>
        <w:t>transactions approach.</w:t>
      </w:r>
      <w:r>
        <w:rPr>
          <w:rFonts w:ascii="Times New Roman" w:hAnsi="Times New Roman"/>
        </w:rPr>
        <w:t xml:space="preserve"> </w:t>
      </w:r>
      <w:r w:rsidR="00F0255E">
        <w:rPr>
          <w:rFonts w:ascii="Times New Roman" w:hAnsi="Times New Roman"/>
        </w:rPr>
        <w:t xml:space="preserve">This approach recognized changes in value only when such a change was </w:t>
      </w:r>
      <w:r w:rsidR="00F0255E">
        <w:rPr>
          <w:rFonts w:ascii="Times New Roman" w:hAnsi="Times New Roman"/>
          <w:i/>
        </w:rPr>
        <w:t>realized</w:t>
      </w:r>
      <w:r w:rsidR="00F0255E">
        <w:rPr>
          <w:rFonts w:ascii="Times New Roman" w:hAnsi="Times New Roman"/>
        </w:rPr>
        <w:t xml:space="preserve"> through a</w:t>
      </w:r>
      <w:r w:rsidR="00A46044">
        <w:rPr>
          <w:rFonts w:ascii="Times New Roman" w:hAnsi="Times New Roman"/>
        </w:rPr>
        <w:t>n existing</w:t>
      </w:r>
      <w:r w:rsidR="00F0255E">
        <w:rPr>
          <w:rFonts w:ascii="Times New Roman" w:hAnsi="Times New Roman"/>
        </w:rPr>
        <w:t xml:space="preserve"> transaction. Currently, however, accounting </w:t>
      </w:r>
      <w:r w:rsidR="00DF00E9">
        <w:rPr>
          <w:rFonts w:ascii="Times New Roman" w:hAnsi="Times New Roman"/>
        </w:rPr>
        <w:t xml:space="preserve">also </w:t>
      </w:r>
      <w:r w:rsidR="00F0255E">
        <w:rPr>
          <w:rFonts w:ascii="Times New Roman" w:hAnsi="Times New Roman"/>
        </w:rPr>
        <w:t xml:space="preserve">recognizes </w:t>
      </w:r>
      <w:r w:rsidR="00A711B2">
        <w:rPr>
          <w:rFonts w:ascii="Times New Roman" w:hAnsi="Times New Roman"/>
        </w:rPr>
        <w:t xml:space="preserve">some </w:t>
      </w:r>
      <w:r w:rsidR="00F0255E">
        <w:rPr>
          <w:rFonts w:ascii="Times New Roman" w:hAnsi="Times New Roman"/>
        </w:rPr>
        <w:t>changes in value that have not yet been realized</w:t>
      </w:r>
      <w:r w:rsidR="001C02D9">
        <w:rPr>
          <w:rFonts w:ascii="Times New Roman" w:hAnsi="Times New Roman"/>
        </w:rPr>
        <w:t xml:space="preserve"> which is in line with the economic income definition</w:t>
      </w:r>
      <w:r w:rsidR="00F0255E">
        <w:rPr>
          <w:rFonts w:ascii="Times New Roman" w:hAnsi="Times New Roman"/>
        </w:rPr>
        <w:t>.</w:t>
      </w:r>
    </w:p>
    <w:p w:rsidR="002043A1" w:rsidRDefault="002043A1">
      <w:pPr>
        <w:rPr>
          <w:rFonts w:ascii="Times New Roman" w:hAnsi="Times New Roman"/>
        </w:rPr>
      </w:pPr>
    </w:p>
    <w:p w:rsidR="002043A1" w:rsidRDefault="002043A1">
      <w:pPr>
        <w:rPr>
          <w:rFonts w:ascii="Times New Roman" w:hAnsi="Times New Roman"/>
        </w:rPr>
      </w:pPr>
      <w:r w:rsidRPr="00B115D3">
        <w:rPr>
          <w:rFonts w:ascii="Times New Roman" w:hAnsi="Times New Roman"/>
          <w:b/>
        </w:rPr>
        <w:lastRenderedPageBreak/>
        <w:t>Comprehensive Income</w:t>
      </w:r>
      <w:r>
        <w:rPr>
          <w:rFonts w:ascii="Times New Roman" w:hAnsi="Times New Roman"/>
        </w:rPr>
        <w:t xml:space="preserve"> is defined as all changes to owners’ equity that are not the result of transactions with the </w:t>
      </w:r>
      <w:r w:rsidR="00851888">
        <w:rPr>
          <w:rFonts w:ascii="Times New Roman" w:hAnsi="Times New Roman"/>
        </w:rPr>
        <w:t>owners (</w:t>
      </w:r>
      <w:r>
        <w:rPr>
          <w:rFonts w:ascii="Times New Roman" w:hAnsi="Times New Roman"/>
        </w:rPr>
        <w:t>shareholders).</w:t>
      </w:r>
    </w:p>
    <w:p w:rsidR="002043A1" w:rsidRDefault="002043A1">
      <w:pPr>
        <w:rPr>
          <w:rFonts w:ascii="Times New Roman" w:hAnsi="Times New Roman"/>
        </w:rPr>
      </w:pPr>
    </w:p>
    <w:p w:rsidR="002043A1" w:rsidRDefault="002043A1" w:rsidP="002043A1">
      <w:pPr>
        <w:rPr>
          <w:rFonts w:ascii="Times New Roman" w:hAnsi="Times New Roman"/>
        </w:rPr>
      </w:pPr>
      <w:r>
        <w:rPr>
          <w:rFonts w:ascii="Times New Roman" w:hAnsi="Times New Roman"/>
        </w:rPr>
        <w:t>Two categories of comprehensive income:</w:t>
      </w:r>
    </w:p>
    <w:p w:rsidR="002043A1" w:rsidRDefault="000C30AC" w:rsidP="002043A1">
      <w:pPr>
        <w:numPr>
          <w:ilvl w:val="0"/>
          <w:numId w:val="9"/>
        </w:numPr>
        <w:rPr>
          <w:rFonts w:ascii="Times New Roman" w:hAnsi="Times New Roman"/>
        </w:rPr>
      </w:pPr>
      <w:r>
        <w:rPr>
          <w:rFonts w:ascii="Times New Roman" w:hAnsi="Times New Roman"/>
        </w:rPr>
        <w:t>Periodic profit or loss (also known as net income or earnings);</w:t>
      </w:r>
      <w:r w:rsidR="002043A1">
        <w:rPr>
          <w:rFonts w:ascii="Times New Roman" w:hAnsi="Times New Roman"/>
        </w:rPr>
        <w:t xml:space="preserve"> and</w:t>
      </w:r>
    </w:p>
    <w:p w:rsidR="002043A1" w:rsidRDefault="002043A1" w:rsidP="002043A1">
      <w:pPr>
        <w:numPr>
          <w:ilvl w:val="0"/>
          <w:numId w:val="9"/>
        </w:numPr>
        <w:rPr>
          <w:rFonts w:ascii="Times New Roman" w:hAnsi="Times New Roman"/>
        </w:rPr>
      </w:pPr>
      <w:r>
        <w:rPr>
          <w:rFonts w:ascii="Times New Roman" w:hAnsi="Times New Roman"/>
        </w:rPr>
        <w:t>Other Comprehensive Income (OCI).</w:t>
      </w:r>
    </w:p>
    <w:p w:rsidR="002043A1" w:rsidRDefault="002043A1" w:rsidP="002043A1">
      <w:pPr>
        <w:rPr>
          <w:rFonts w:ascii="Times New Roman" w:hAnsi="Times New Roman"/>
        </w:rPr>
      </w:pPr>
    </w:p>
    <w:p w:rsidR="002043A1" w:rsidRDefault="002043A1" w:rsidP="002043A1">
      <w:pPr>
        <w:rPr>
          <w:rFonts w:ascii="Times New Roman" w:hAnsi="Times New Roman"/>
        </w:rPr>
      </w:pPr>
      <w:r>
        <w:rPr>
          <w:rFonts w:ascii="Times New Roman" w:hAnsi="Times New Roman"/>
        </w:rPr>
        <w:t xml:space="preserve">Companies can </w:t>
      </w:r>
      <w:r w:rsidR="000C30AC">
        <w:rPr>
          <w:rFonts w:ascii="Times New Roman" w:hAnsi="Times New Roman"/>
        </w:rPr>
        <w:t>choose two different reporting formats:</w:t>
      </w:r>
      <w:r>
        <w:rPr>
          <w:rFonts w:ascii="Times New Roman" w:hAnsi="Times New Roman"/>
        </w:rPr>
        <w:t xml:space="preserve"> </w:t>
      </w:r>
    </w:p>
    <w:p w:rsidR="002043A1" w:rsidRDefault="000C30AC" w:rsidP="002043A1">
      <w:pPr>
        <w:numPr>
          <w:ilvl w:val="0"/>
          <w:numId w:val="10"/>
        </w:numPr>
        <w:rPr>
          <w:rFonts w:ascii="Times New Roman" w:hAnsi="Times New Roman"/>
        </w:rPr>
      </w:pPr>
      <w:r>
        <w:rPr>
          <w:rFonts w:ascii="Times New Roman" w:hAnsi="Times New Roman"/>
        </w:rPr>
        <w:t>Two separate statements</w:t>
      </w:r>
      <w:r w:rsidR="00B95822">
        <w:rPr>
          <w:rFonts w:ascii="Times New Roman" w:hAnsi="Times New Roman"/>
        </w:rPr>
        <w:t xml:space="preserve"> (consecutively presented)</w:t>
      </w:r>
      <w:r>
        <w:rPr>
          <w:rFonts w:ascii="Times New Roman" w:hAnsi="Times New Roman"/>
        </w:rPr>
        <w:t xml:space="preserve"> consisting of a) a statement of profit or loss and b) an SCI that begins with profit or loss on first line </w:t>
      </w:r>
      <w:r w:rsidR="002043A1">
        <w:rPr>
          <w:rFonts w:ascii="Times New Roman" w:hAnsi="Times New Roman"/>
        </w:rPr>
        <w:t>or</w:t>
      </w:r>
    </w:p>
    <w:p w:rsidR="002043A1" w:rsidRDefault="00B95822" w:rsidP="002043A1">
      <w:pPr>
        <w:numPr>
          <w:ilvl w:val="0"/>
          <w:numId w:val="10"/>
        </w:numPr>
        <w:rPr>
          <w:rFonts w:ascii="Times New Roman" w:hAnsi="Times New Roman"/>
        </w:rPr>
      </w:pPr>
      <w:r>
        <w:rPr>
          <w:rFonts w:ascii="Times New Roman" w:hAnsi="Times New Roman"/>
        </w:rPr>
        <w:t xml:space="preserve">A continuous </w:t>
      </w:r>
      <w:r w:rsidR="002043A1">
        <w:rPr>
          <w:rFonts w:ascii="Times New Roman" w:hAnsi="Times New Roman"/>
        </w:rPr>
        <w:t xml:space="preserve">Statement of Comprehensive income (SCI) that starts with </w:t>
      </w:r>
      <w:r w:rsidR="000C30AC">
        <w:rPr>
          <w:rFonts w:ascii="Times New Roman" w:hAnsi="Times New Roman"/>
        </w:rPr>
        <w:t xml:space="preserve">revenue, goes down to a </w:t>
      </w:r>
      <w:r>
        <w:rPr>
          <w:rFonts w:ascii="Times New Roman" w:hAnsi="Times New Roman"/>
        </w:rPr>
        <w:t>sub</w:t>
      </w:r>
      <w:r w:rsidR="000C30AC">
        <w:rPr>
          <w:rFonts w:ascii="Times New Roman" w:hAnsi="Times New Roman"/>
        </w:rPr>
        <w:t>total for net profit or loss (or “earnings” after tax</w:t>
      </w:r>
      <w:r>
        <w:rPr>
          <w:rFonts w:ascii="Times New Roman" w:hAnsi="Times New Roman"/>
        </w:rPr>
        <w:t>)</w:t>
      </w:r>
      <w:r w:rsidR="000C30AC">
        <w:rPr>
          <w:rFonts w:ascii="Times New Roman" w:hAnsi="Times New Roman"/>
        </w:rPr>
        <w:t xml:space="preserve"> and then continues to other comprehensive income. </w:t>
      </w:r>
    </w:p>
    <w:p w:rsidR="00D03329" w:rsidRDefault="00D03329" w:rsidP="002043A1">
      <w:pPr>
        <w:rPr>
          <w:rFonts w:ascii="Times New Roman" w:hAnsi="Times New Roman"/>
        </w:rPr>
      </w:pPr>
    </w:p>
    <w:p w:rsidR="00B95822" w:rsidRDefault="00B95822" w:rsidP="00B95822">
      <w:pPr>
        <w:rPr>
          <w:rFonts w:ascii="Times New Roman" w:hAnsi="Times New Roman"/>
        </w:rPr>
      </w:pPr>
      <w:r>
        <w:rPr>
          <w:rFonts w:ascii="Times New Roman" w:hAnsi="Times New Roman"/>
        </w:rPr>
        <w:t>The vast majority of items (other than transactions with owners) are included in profit or loss and are those items that represent value changes in both net assets and in profit or loss.</w:t>
      </w:r>
    </w:p>
    <w:p w:rsidR="00B95822" w:rsidRDefault="00B95822" w:rsidP="00B95822">
      <w:pPr>
        <w:rPr>
          <w:rFonts w:ascii="Times New Roman" w:hAnsi="Times New Roman"/>
        </w:rPr>
      </w:pPr>
    </w:p>
    <w:p w:rsidR="00B95822" w:rsidRDefault="00B95822" w:rsidP="00B95822">
      <w:pPr>
        <w:rPr>
          <w:rFonts w:ascii="Times New Roman" w:hAnsi="Times New Roman"/>
        </w:rPr>
      </w:pPr>
      <w:r>
        <w:rPr>
          <w:rFonts w:ascii="Times New Roman" w:hAnsi="Times New Roman"/>
        </w:rPr>
        <w:t xml:space="preserve">Items of other comprehensive income result from changes in net assets that are not recognized in current earnings (usually due to a volatility in fair value change). </w:t>
      </w:r>
    </w:p>
    <w:p w:rsidR="002043A1" w:rsidRDefault="002043A1" w:rsidP="002043A1">
      <w:pPr>
        <w:rPr>
          <w:rFonts w:ascii="Times New Roman" w:hAnsi="Times New Roman"/>
        </w:rPr>
      </w:pPr>
    </w:p>
    <w:p w:rsidR="002043A1" w:rsidRDefault="00D03329" w:rsidP="002043A1">
      <w:pPr>
        <w:rPr>
          <w:rFonts w:ascii="Times New Roman" w:hAnsi="Times New Roman"/>
        </w:rPr>
      </w:pPr>
      <w:r w:rsidRPr="007753B7">
        <w:rPr>
          <w:rFonts w:ascii="Times New Roman" w:hAnsi="Times New Roman"/>
          <w:b/>
        </w:rPr>
        <w:t>There are some i</w:t>
      </w:r>
      <w:r w:rsidR="002043A1" w:rsidRPr="007753B7">
        <w:rPr>
          <w:rFonts w:ascii="Times New Roman" w:hAnsi="Times New Roman"/>
          <w:b/>
        </w:rPr>
        <w:t>tems excluded from profit or loss</w:t>
      </w:r>
      <w:r w:rsidRPr="007753B7">
        <w:rPr>
          <w:rFonts w:ascii="Times New Roman" w:hAnsi="Times New Roman"/>
          <w:b/>
        </w:rPr>
        <w:t>.</w:t>
      </w:r>
      <w:r>
        <w:rPr>
          <w:rFonts w:ascii="Times New Roman" w:hAnsi="Times New Roman"/>
        </w:rPr>
        <w:t xml:space="preserve">  These include:</w:t>
      </w:r>
    </w:p>
    <w:p w:rsidR="00B95822" w:rsidRDefault="00D03329" w:rsidP="00D03329">
      <w:pPr>
        <w:numPr>
          <w:ilvl w:val="0"/>
          <w:numId w:val="28"/>
        </w:numPr>
        <w:rPr>
          <w:rFonts w:ascii="Times New Roman" w:hAnsi="Times New Roman"/>
        </w:rPr>
      </w:pPr>
      <w:r>
        <w:rPr>
          <w:rFonts w:ascii="Times New Roman" w:hAnsi="Times New Roman"/>
        </w:rPr>
        <w:t>Cumulative changes to retained earnings that are the result of</w:t>
      </w:r>
      <w:r w:rsidR="00B95822">
        <w:rPr>
          <w:rFonts w:ascii="Times New Roman" w:hAnsi="Times New Roman"/>
        </w:rPr>
        <w:t>:</w:t>
      </w:r>
    </w:p>
    <w:p w:rsidR="00D03329" w:rsidRPr="00851888" w:rsidRDefault="00851888" w:rsidP="00851888">
      <w:pPr>
        <w:pStyle w:val="ListParagraph"/>
        <w:numPr>
          <w:ilvl w:val="0"/>
          <w:numId w:val="42"/>
        </w:numPr>
        <w:rPr>
          <w:rFonts w:ascii="Times New Roman" w:hAnsi="Times New Roman"/>
        </w:rPr>
      </w:pPr>
      <w:r>
        <w:rPr>
          <w:rFonts w:ascii="Times New Roman" w:hAnsi="Times New Roman"/>
        </w:rPr>
        <w:t>C</w:t>
      </w:r>
      <w:r w:rsidR="00D03329" w:rsidRPr="00851888">
        <w:rPr>
          <w:rFonts w:ascii="Times New Roman" w:hAnsi="Times New Roman"/>
        </w:rPr>
        <w:t>hanges in accounting policies or 2. Corrections of errors in prior periods.</w:t>
      </w:r>
    </w:p>
    <w:p w:rsidR="007753B7" w:rsidRDefault="007753B7" w:rsidP="00D03329">
      <w:pPr>
        <w:numPr>
          <w:ilvl w:val="0"/>
          <w:numId w:val="28"/>
        </w:numPr>
        <w:rPr>
          <w:rFonts w:ascii="Times New Roman" w:hAnsi="Times New Roman"/>
        </w:rPr>
      </w:pPr>
      <w:r>
        <w:rPr>
          <w:rFonts w:ascii="Times New Roman" w:hAnsi="Times New Roman"/>
        </w:rPr>
        <w:t>Certain</w:t>
      </w:r>
      <w:r w:rsidR="00B95822">
        <w:rPr>
          <w:rFonts w:ascii="Times New Roman" w:hAnsi="Times New Roman"/>
        </w:rPr>
        <w:t xml:space="preserve"> specified changes are recognized i</w:t>
      </w:r>
      <w:r>
        <w:rPr>
          <w:rFonts w:ascii="Times New Roman" w:hAnsi="Times New Roman"/>
        </w:rPr>
        <w:t>n the SFP which include: the value that will be recognized in income only if and when realized or the value that will be matched by an offsetting gain or loss.  These items are reported in OCI.</w:t>
      </w:r>
    </w:p>
    <w:p w:rsidR="007753B7" w:rsidRDefault="00B95822" w:rsidP="00D03329">
      <w:pPr>
        <w:numPr>
          <w:ilvl w:val="0"/>
          <w:numId w:val="28"/>
        </w:numPr>
        <w:rPr>
          <w:rFonts w:ascii="Times New Roman" w:hAnsi="Times New Roman"/>
        </w:rPr>
      </w:pPr>
      <w:r>
        <w:rPr>
          <w:rFonts w:ascii="Times New Roman" w:hAnsi="Times New Roman"/>
        </w:rPr>
        <w:t>Foreign currency e</w:t>
      </w:r>
      <w:r w:rsidR="007753B7">
        <w:rPr>
          <w:rFonts w:ascii="Times New Roman" w:hAnsi="Times New Roman"/>
        </w:rPr>
        <w:t>xchange rate gains or losses due to the consolidation process, when companies have operations in foreign countries, are reported in OCI.</w:t>
      </w:r>
    </w:p>
    <w:p w:rsidR="007753B7" w:rsidRDefault="007753B7" w:rsidP="00D03329">
      <w:pPr>
        <w:numPr>
          <w:ilvl w:val="0"/>
          <w:numId w:val="28"/>
        </w:numPr>
        <w:rPr>
          <w:rFonts w:ascii="Times New Roman" w:hAnsi="Times New Roman"/>
        </w:rPr>
      </w:pPr>
      <w:r>
        <w:rPr>
          <w:rFonts w:ascii="Times New Roman" w:hAnsi="Times New Roman"/>
        </w:rPr>
        <w:t>Net actuarial gains and losses relating to pension plans be reported in OCI.</w:t>
      </w:r>
    </w:p>
    <w:p w:rsidR="00A17648" w:rsidRDefault="00A17648">
      <w:pPr>
        <w:rPr>
          <w:rFonts w:ascii="Times New Roman" w:hAnsi="Times New Roman"/>
        </w:rPr>
      </w:pPr>
    </w:p>
    <w:p w:rsidR="00A17648" w:rsidRDefault="00A17648" w:rsidP="0025788C">
      <w:pPr>
        <w:pStyle w:val="Head1"/>
        <w:numPr>
          <w:ilvl w:val="0"/>
          <w:numId w:val="36"/>
        </w:numPr>
        <w:rPr>
          <w:rFonts w:ascii="Times New Roman" w:hAnsi="Times New Roman"/>
        </w:rPr>
      </w:pPr>
      <w:r>
        <w:rPr>
          <w:rFonts w:ascii="Times New Roman" w:hAnsi="Times New Roman"/>
        </w:rPr>
        <w:t>GENERAL PRESENTATION FORMAT</w:t>
      </w:r>
    </w:p>
    <w:p w:rsidR="001B785A" w:rsidRDefault="001B785A" w:rsidP="001B785A">
      <w:pPr>
        <w:pStyle w:val="Head1"/>
        <w:rPr>
          <w:rFonts w:ascii="Times New Roman" w:hAnsi="Times New Roman"/>
          <w:b w:val="0"/>
        </w:rPr>
      </w:pPr>
      <w:r w:rsidRPr="001B785A">
        <w:rPr>
          <w:rFonts w:ascii="Times New Roman" w:hAnsi="Times New Roman"/>
          <w:b w:val="0"/>
        </w:rPr>
        <w:t>IFRS</w:t>
      </w:r>
      <w:r>
        <w:rPr>
          <w:rFonts w:ascii="Times New Roman" w:hAnsi="Times New Roman"/>
          <w:b w:val="0"/>
        </w:rPr>
        <w:t xml:space="preserve"> prescribes little detail for either the content or format of the statement of comprehensive income except for the clear division between </w:t>
      </w:r>
      <w:r w:rsidR="0025788C">
        <w:rPr>
          <w:rFonts w:ascii="Times New Roman" w:hAnsi="Times New Roman"/>
          <w:b w:val="0"/>
        </w:rPr>
        <w:t>profit or loss</w:t>
      </w:r>
      <w:r>
        <w:rPr>
          <w:rFonts w:ascii="Times New Roman" w:hAnsi="Times New Roman"/>
          <w:b w:val="0"/>
        </w:rPr>
        <w:t xml:space="preserve"> and other comprehensive income.  </w:t>
      </w:r>
    </w:p>
    <w:p w:rsidR="001B785A" w:rsidRDefault="001B785A" w:rsidP="001B785A">
      <w:pPr>
        <w:pStyle w:val="Head1"/>
        <w:rPr>
          <w:rFonts w:ascii="Times New Roman" w:hAnsi="Times New Roman"/>
          <w:b w:val="0"/>
        </w:rPr>
      </w:pPr>
    </w:p>
    <w:p w:rsidR="001B785A" w:rsidRPr="00E30C6E" w:rsidRDefault="001B785A" w:rsidP="001B785A">
      <w:pPr>
        <w:pStyle w:val="Head1"/>
        <w:rPr>
          <w:rFonts w:ascii="Times New Roman" w:hAnsi="Times New Roman"/>
        </w:rPr>
      </w:pPr>
      <w:r w:rsidRPr="00E30C6E">
        <w:rPr>
          <w:rFonts w:ascii="Times New Roman" w:hAnsi="Times New Roman"/>
        </w:rPr>
        <w:t>Line Items Required for Profit or Loss Section</w:t>
      </w:r>
    </w:p>
    <w:p w:rsidR="001B785A" w:rsidRDefault="001B785A" w:rsidP="001B785A">
      <w:pPr>
        <w:pStyle w:val="Head1"/>
        <w:rPr>
          <w:rFonts w:ascii="Times New Roman" w:hAnsi="Times New Roman"/>
          <w:b w:val="0"/>
        </w:rPr>
      </w:pPr>
    </w:p>
    <w:p w:rsidR="001B785A" w:rsidRDefault="001B785A" w:rsidP="001B785A">
      <w:pPr>
        <w:pStyle w:val="Head1"/>
        <w:rPr>
          <w:rFonts w:ascii="Times New Roman" w:hAnsi="Times New Roman"/>
          <w:b w:val="0"/>
        </w:rPr>
      </w:pPr>
      <w:r>
        <w:rPr>
          <w:rFonts w:ascii="Times New Roman" w:hAnsi="Times New Roman"/>
          <w:b w:val="0"/>
        </w:rPr>
        <w:t>In reporting net earnings, the following line items are required according to IFRS:</w:t>
      </w:r>
    </w:p>
    <w:p w:rsidR="001B785A" w:rsidRDefault="001B785A" w:rsidP="001B785A">
      <w:pPr>
        <w:pStyle w:val="Head1"/>
        <w:numPr>
          <w:ilvl w:val="0"/>
          <w:numId w:val="11"/>
        </w:numPr>
        <w:rPr>
          <w:rFonts w:ascii="Times New Roman" w:hAnsi="Times New Roman"/>
          <w:b w:val="0"/>
        </w:rPr>
      </w:pPr>
      <w:r>
        <w:rPr>
          <w:rFonts w:ascii="Times New Roman" w:hAnsi="Times New Roman"/>
          <w:b w:val="0"/>
        </w:rPr>
        <w:t>Revenues</w:t>
      </w:r>
    </w:p>
    <w:p w:rsidR="001B785A" w:rsidRDefault="001B785A" w:rsidP="001B785A">
      <w:pPr>
        <w:pStyle w:val="Head1"/>
        <w:numPr>
          <w:ilvl w:val="0"/>
          <w:numId w:val="11"/>
        </w:numPr>
        <w:rPr>
          <w:rFonts w:ascii="Times New Roman" w:hAnsi="Times New Roman"/>
          <w:b w:val="0"/>
        </w:rPr>
      </w:pPr>
      <w:r>
        <w:rPr>
          <w:rFonts w:ascii="Times New Roman" w:hAnsi="Times New Roman"/>
          <w:b w:val="0"/>
        </w:rPr>
        <w:t>Finance costs</w:t>
      </w:r>
      <w:r w:rsidR="005508E0">
        <w:rPr>
          <w:rFonts w:ascii="Times New Roman" w:hAnsi="Times New Roman"/>
          <w:b w:val="0"/>
        </w:rPr>
        <w:t xml:space="preserve"> (including interest expense)</w:t>
      </w:r>
    </w:p>
    <w:p w:rsidR="001B785A" w:rsidRDefault="001B785A" w:rsidP="001B785A">
      <w:pPr>
        <w:pStyle w:val="Head1"/>
        <w:numPr>
          <w:ilvl w:val="0"/>
          <w:numId w:val="11"/>
        </w:numPr>
        <w:rPr>
          <w:rFonts w:ascii="Times New Roman" w:hAnsi="Times New Roman"/>
          <w:b w:val="0"/>
        </w:rPr>
      </w:pPr>
      <w:r>
        <w:rPr>
          <w:rFonts w:ascii="Times New Roman" w:hAnsi="Times New Roman"/>
          <w:b w:val="0"/>
        </w:rPr>
        <w:t>The enterprise</w:t>
      </w:r>
      <w:r w:rsidR="005508E0">
        <w:rPr>
          <w:rFonts w:ascii="Times New Roman" w:hAnsi="Times New Roman"/>
          <w:b w:val="0"/>
        </w:rPr>
        <w:t>’</w:t>
      </w:r>
      <w:r>
        <w:rPr>
          <w:rFonts w:ascii="Times New Roman" w:hAnsi="Times New Roman"/>
          <w:b w:val="0"/>
        </w:rPr>
        <w:t>s share of earnings from associated companies and/or joint ventures</w:t>
      </w:r>
    </w:p>
    <w:p w:rsidR="001B785A" w:rsidRDefault="001B785A" w:rsidP="001B785A">
      <w:pPr>
        <w:pStyle w:val="Head1"/>
        <w:numPr>
          <w:ilvl w:val="0"/>
          <w:numId w:val="11"/>
        </w:numPr>
        <w:rPr>
          <w:rFonts w:ascii="Times New Roman" w:hAnsi="Times New Roman"/>
          <w:b w:val="0"/>
        </w:rPr>
      </w:pPr>
      <w:r>
        <w:rPr>
          <w:rFonts w:ascii="Times New Roman" w:hAnsi="Times New Roman"/>
          <w:b w:val="0"/>
        </w:rPr>
        <w:t>Income tax expense on continuing operations</w:t>
      </w:r>
    </w:p>
    <w:p w:rsidR="001B785A" w:rsidRDefault="001B785A" w:rsidP="001B785A">
      <w:pPr>
        <w:pStyle w:val="Head1"/>
        <w:numPr>
          <w:ilvl w:val="0"/>
          <w:numId w:val="11"/>
        </w:numPr>
        <w:rPr>
          <w:rFonts w:ascii="Times New Roman" w:hAnsi="Times New Roman"/>
          <w:b w:val="0"/>
        </w:rPr>
      </w:pPr>
      <w:r>
        <w:rPr>
          <w:rFonts w:ascii="Times New Roman" w:hAnsi="Times New Roman"/>
          <w:b w:val="0"/>
        </w:rPr>
        <w:t>Profit or loss on discontinued operations, net of tax</w:t>
      </w:r>
    </w:p>
    <w:p w:rsidR="001B785A" w:rsidRDefault="001B785A" w:rsidP="001B785A">
      <w:pPr>
        <w:pStyle w:val="Head1"/>
        <w:numPr>
          <w:ilvl w:val="0"/>
          <w:numId w:val="11"/>
        </w:numPr>
        <w:rPr>
          <w:rFonts w:ascii="Times New Roman" w:hAnsi="Times New Roman"/>
          <w:b w:val="0"/>
        </w:rPr>
      </w:pPr>
      <w:r>
        <w:rPr>
          <w:rFonts w:ascii="Times New Roman" w:hAnsi="Times New Roman"/>
          <w:b w:val="0"/>
        </w:rPr>
        <w:t xml:space="preserve">Net earnings </w:t>
      </w:r>
    </w:p>
    <w:p w:rsidR="001B785A" w:rsidRDefault="001B785A" w:rsidP="001B785A">
      <w:pPr>
        <w:pStyle w:val="Head1"/>
        <w:numPr>
          <w:ilvl w:val="0"/>
          <w:numId w:val="11"/>
        </w:numPr>
        <w:rPr>
          <w:rFonts w:ascii="Times New Roman" w:hAnsi="Times New Roman"/>
          <w:b w:val="0"/>
        </w:rPr>
      </w:pPr>
      <w:r>
        <w:rPr>
          <w:rFonts w:ascii="Times New Roman" w:hAnsi="Times New Roman"/>
          <w:b w:val="0"/>
        </w:rPr>
        <w:lastRenderedPageBreak/>
        <w:t>Earnings per share</w:t>
      </w:r>
    </w:p>
    <w:p w:rsidR="002F41CF" w:rsidRDefault="002F41CF" w:rsidP="002F41CF">
      <w:pPr>
        <w:pStyle w:val="Head1"/>
        <w:ind w:left="360"/>
        <w:rPr>
          <w:rFonts w:ascii="Times New Roman" w:hAnsi="Times New Roman"/>
          <w:b w:val="0"/>
        </w:rPr>
      </w:pPr>
    </w:p>
    <w:p w:rsidR="001B785A" w:rsidRDefault="001B785A" w:rsidP="002F41CF">
      <w:pPr>
        <w:pStyle w:val="Head1"/>
        <w:ind w:left="360"/>
        <w:rPr>
          <w:rFonts w:ascii="Times New Roman" w:hAnsi="Times New Roman"/>
          <w:b w:val="0"/>
        </w:rPr>
      </w:pPr>
      <w:r>
        <w:rPr>
          <w:rFonts w:ascii="Times New Roman" w:hAnsi="Times New Roman"/>
          <w:b w:val="0"/>
        </w:rPr>
        <w:t>There is no requirement to show cost of goods sold or invent</w:t>
      </w:r>
      <w:r w:rsidR="00851888">
        <w:rPr>
          <w:rFonts w:ascii="Times New Roman" w:hAnsi="Times New Roman"/>
          <w:b w:val="0"/>
        </w:rPr>
        <w:t>ories recognized as an expense (</w:t>
      </w:r>
      <w:r>
        <w:rPr>
          <w:rFonts w:ascii="Times New Roman" w:hAnsi="Times New Roman"/>
          <w:b w:val="0"/>
        </w:rPr>
        <w:t xml:space="preserve">it can </w:t>
      </w:r>
      <w:r w:rsidR="00851888">
        <w:rPr>
          <w:rFonts w:ascii="Times New Roman" w:hAnsi="Times New Roman"/>
          <w:b w:val="0"/>
        </w:rPr>
        <w:t xml:space="preserve">be </w:t>
      </w:r>
      <w:r>
        <w:rPr>
          <w:rFonts w:ascii="Times New Roman" w:hAnsi="Times New Roman"/>
          <w:b w:val="0"/>
        </w:rPr>
        <w:t>show</w:t>
      </w:r>
      <w:r w:rsidR="00851888">
        <w:rPr>
          <w:rFonts w:ascii="Times New Roman" w:hAnsi="Times New Roman"/>
          <w:b w:val="0"/>
        </w:rPr>
        <w:t>n</w:t>
      </w:r>
      <w:r>
        <w:rPr>
          <w:rFonts w:ascii="Times New Roman" w:hAnsi="Times New Roman"/>
          <w:b w:val="0"/>
        </w:rPr>
        <w:t xml:space="preserve"> in a note disclosure).  </w:t>
      </w:r>
      <w:r w:rsidR="00B1773A">
        <w:rPr>
          <w:rFonts w:ascii="Times New Roman" w:hAnsi="Times New Roman"/>
          <w:b w:val="0"/>
        </w:rPr>
        <w:t xml:space="preserve">Three </w:t>
      </w:r>
      <w:r>
        <w:rPr>
          <w:rFonts w:ascii="Times New Roman" w:hAnsi="Times New Roman"/>
          <w:b w:val="0"/>
        </w:rPr>
        <w:t xml:space="preserve">additional requirements should be disclosed on the </w:t>
      </w:r>
      <w:r w:rsidR="00B1773A">
        <w:rPr>
          <w:rFonts w:ascii="Times New Roman" w:hAnsi="Times New Roman"/>
          <w:b w:val="0"/>
        </w:rPr>
        <w:t xml:space="preserve">face of the SCI </w:t>
      </w:r>
      <w:r>
        <w:rPr>
          <w:rFonts w:ascii="Times New Roman" w:hAnsi="Times New Roman"/>
          <w:b w:val="0"/>
        </w:rPr>
        <w:t>or in the notes:</w:t>
      </w:r>
    </w:p>
    <w:p w:rsidR="00B1773A" w:rsidRDefault="00B1773A" w:rsidP="00676AD2">
      <w:pPr>
        <w:pStyle w:val="Head1"/>
        <w:numPr>
          <w:ilvl w:val="0"/>
          <w:numId w:val="37"/>
        </w:numPr>
        <w:rPr>
          <w:rFonts w:ascii="Times New Roman" w:hAnsi="Times New Roman"/>
          <w:b w:val="0"/>
        </w:rPr>
      </w:pPr>
      <w:r>
        <w:rPr>
          <w:rFonts w:ascii="Times New Roman" w:hAnsi="Times New Roman"/>
          <w:b w:val="0"/>
        </w:rPr>
        <w:t>The amount of inventory charged to expense;</w:t>
      </w:r>
    </w:p>
    <w:p w:rsidR="001B785A" w:rsidRDefault="005508E0" w:rsidP="00676AD2">
      <w:pPr>
        <w:pStyle w:val="Head1"/>
        <w:numPr>
          <w:ilvl w:val="0"/>
          <w:numId w:val="37"/>
        </w:numPr>
        <w:rPr>
          <w:rFonts w:ascii="Times New Roman" w:hAnsi="Times New Roman"/>
          <w:b w:val="0"/>
        </w:rPr>
      </w:pPr>
      <w:r>
        <w:rPr>
          <w:rFonts w:ascii="Times New Roman" w:hAnsi="Times New Roman"/>
          <w:b w:val="0"/>
        </w:rPr>
        <w:t xml:space="preserve"> D</w:t>
      </w:r>
      <w:r w:rsidR="001B785A">
        <w:rPr>
          <w:rFonts w:ascii="Times New Roman" w:hAnsi="Times New Roman"/>
          <w:b w:val="0"/>
        </w:rPr>
        <w:t>epreciation</w:t>
      </w:r>
      <w:r>
        <w:rPr>
          <w:rFonts w:ascii="Times New Roman" w:hAnsi="Times New Roman"/>
          <w:b w:val="0"/>
        </w:rPr>
        <w:t xml:space="preserve"> and amortization</w:t>
      </w:r>
      <w:r w:rsidR="00B1773A">
        <w:rPr>
          <w:rFonts w:ascii="Times New Roman" w:hAnsi="Times New Roman"/>
          <w:b w:val="0"/>
        </w:rPr>
        <w:t xml:space="preserve"> expense; and</w:t>
      </w:r>
    </w:p>
    <w:p w:rsidR="001B785A" w:rsidRDefault="001B785A" w:rsidP="00676AD2">
      <w:pPr>
        <w:pStyle w:val="Head1"/>
        <w:numPr>
          <w:ilvl w:val="0"/>
          <w:numId w:val="37"/>
        </w:numPr>
        <w:rPr>
          <w:rFonts w:ascii="Times New Roman" w:hAnsi="Times New Roman"/>
          <w:b w:val="0"/>
        </w:rPr>
      </w:pPr>
      <w:r>
        <w:rPr>
          <w:rFonts w:ascii="Times New Roman" w:hAnsi="Times New Roman"/>
          <w:b w:val="0"/>
        </w:rPr>
        <w:t>Employee benefits expense</w:t>
      </w:r>
      <w:r w:rsidR="00B1773A">
        <w:rPr>
          <w:rFonts w:ascii="Times New Roman" w:hAnsi="Times New Roman"/>
          <w:b w:val="0"/>
        </w:rPr>
        <w:t>, which includes wages and salaries, payroll taxes, health care costs</w:t>
      </w:r>
      <w:r w:rsidR="005508E0">
        <w:rPr>
          <w:rFonts w:ascii="Times New Roman" w:hAnsi="Times New Roman"/>
          <w:b w:val="0"/>
        </w:rPr>
        <w:t xml:space="preserve"> and post-retirement benefits</w:t>
      </w:r>
      <w:r w:rsidR="00B1773A">
        <w:rPr>
          <w:rFonts w:ascii="Times New Roman" w:hAnsi="Times New Roman"/>
          <w:b w:val="0"/>
        </w:rPr>
        <w:t>.</w:t>
      </w:r>
    </w:p>
    <w:p w:rsidR="00676AD2" w:rsidRDefault="00676AD2" w:rsidP="00676AD2">
      <w:pPr>
        <w:pStyle w:val="Head1"/>
        <w:ind w:left="1080"/>
        <w:rPr>
          <w:rFonts w:ascii="Times New Roman" w:hAnsi="Times New Roman"/>
          <w:b w:val="0"/>
        </w:rPr>
      </w:pPr>
    </w:p>
    <w:p w:rsidR="00676AD2" w:rsidRDefault="00676AD2" w:rsidP="00676AD2">
      <w:pPr>
        <w:pStyle w:val="Head1"/>
        <w:rPr>
          <w:rFonts w:ascii="Times New Roman" w:hAnsi="Times New Roman"/>
          <w:b w:val="0"/>
        </w:rPr>
      </w:pPr>
      <w:r>
        <w:rPr>
          <w:rFonts w:ascii="Times New Roman" w:hAnsi="Times New Roman"/>
          <w:b w:val="0"/>
        </w:rPr>
        <w:t xml:space="preserve">Materiality (the idea that including or excluding certain information may change a user’s decision with respect to the financial statements) may lead to items other than those on this specific list being disclosed in the notes or on the face of the SCI.  </w:t>
      </w:r>
    </w:p>
    <w:p w:rsidR="00483320" w:rsidRDefault="00483320" w:rsidP="001B785A">
      <w:pPr>
        <w:pStyle w:val="Head1"/>
        <w:rPr>
          <w:rFonts w:ascii="Times New Roman" w:hAnsi="Times New Roman"/>
        </w:rPr>
      </w:pPr>
    </w:p>
    <w:p w:rsidR="001B785A" w:rsidRPr="00020521" w:rsidRDefault="001B785A" w:rsidP="001B785A">
      <w:pPr>
        <w:pStyle w:val="Head1"/>
        <w:rPr>
          <w:rFonts w:ascii="Times New Roman" w:hAnsi="Times New Roman"/>
        </w:rPr>
      </w:pPr>
      <w:r w:rsidRPr="00020521">
        <w:rPr>
          <w:rFonts w:ascii="Times New Roman" w:hAnsi="Times New Roman"/>
        </w:rPr>
        <w:t>Alternative Formats</w:t>
      </w:r>
    </w:p>
    <w:p w:rsidR="00483320" w:rsidRDefault="00B405EA" w:rsidP="00483320">
      <w:pPr>
        <w:pStyle w:val="Head1"/>
        <w:ind w:right="205"/>
        <w:rPr>
          <w:rFonts w:ascii="Times New Roman" w:hAnsi="Times New Roman"/>
        </w:rPr>
      </w:pPr>
      <w:r>
        <w:rPr>
          <w:rFonts w:ascii="Times New Roman" w:hAnsi="Times New Roman"/>
          <w:noProof/>
          <w:lang w:val="en-CA" w:eastAsia="en-CA"/>
        </w:rPr>
        <mc:AlternateContent>
          <mc:Choice Requires="wps">
            <w:drawing>
              <wp:anchor distT="0" distB="0" distL="114300" distR="114300" simplePos="0" relativeHeight="251657728" behindDoc="0" locked="0" layoutInCell="1" allowOverlap="1">
                <wp:simplePos x="0" y="0"/>
                <wp:positionH relativeFrom="column">
                  <wp:posOffset>-828040</wp:posOffset>
                </wp:positionH>
                <wp:positionV relativeFrom="paragraph">
                  <wp:posOffset>173355</wp:posOffset>
                </wp:positionV>
                <wp:extent cx="769620" cy="274320"/>
                <wp:effectExtent l="0" t="0" r="0" b="0"/>
                <wp:wrapNone/>
                <wp:docPr id="1"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9620" cy="274320"/>
                        </a:xfrm>
                        <a:prstGeom prst="flowChartTerminator">
                          <a:avLst/>
                        </a:prstGeom>
                        <a:solidFill>
                          <a:srgbClr val="000000"/>
                        </a:solidFill>
                        <a:ln w="9525">
                          <a:solidFill>
                            <a:srgbClr val="000000"/>
                          </a:solidFill>
                          <a:miter lim="800000"/>
                          <a:headEnd/>
                          <a:tailEnd/>
                        </a:ln>
                      </wps:spPr>
                      <wps:txbx>
                        <w:txbxContent>
                          <w:p w:rsidR="00483320" w:rsidRDefault="00483320" w:rsidP="00483320">
                            <w:pPr>
                              <w:spacing w:after="120"/>
                              <w:jc w:val="center"/>
                              <w:rPr>
                                <w:b/>
                                <w:color w:val="FFFFFF"/>
                                <w:sz w:val="32"/>
                              </w:rPr>
                            </w:pPr>
                            <w:r>
                              <w:rPr>
                                <w:b/>
                                <w:color w:val="FFFFFF"/>
                                <w:sz w:val="32"/>
                              </w:rPr>
                              <w:t>IFRS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16" coordsize="21600,21600" o:spt="116" path="m3475,qx,10800,3475,21600l18125,21600qx21600,10800,18125,xe">
                <v:stroke joinstyle="miter"/>
                <v:path gradientshapeok="t" o:connecttype="rect" textboxrect="1018,3163,20582,18437"/>
              </v:shapetype>
              <v:shape id="AutoShape 37" o:spid="_x0000_s1026" type="#_x0000_t116" style="position:absolute;margin-left:-65.2pt;margin-top:13.65pt;width:60.6pt;height:21.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N7XHwIAAEYEAAAOAAAAZHJzL2Uyb0RvYy54bWysU81u2zAMvg/YOwi6r07S9c+IUxTtOgzo&#10;tgLtHoCR5ViYJGqUEqd7+lFykrbbZRjmg0Ca5EfyIzm/3DorNpqiQd/I6dFECu0VtsavGvnt8fbd&#10;uRQxgW/BoteNfNJRXi7evpkPodYz7NG2mgSD+FgPoZF9SqGuqqh67SAeYdCejR2Sg8QqraqWYGB0&#10;Z6vZZHJaDUhtIFQ6Rv57MxrlouB3nVbpa9dFnYRtJNeWykvlXea3WsyhXhGE3qhdGfAPVTgwnpMe&#10;oG4ggViT+QPKGUUYsUtHCl2FXWeULj1wN9PJb9089BB06YXJieFAU/x/sOrL5p6EaXl2UnhwPKKr&#10;dcKSWRyfZX6GEGt2ewj3lDuM4Q7V9yg8XvfgV/qKCIdeQ8tVTbN/9SogK5FDxXL4jC3DA8MXqrYd&#10;uQzIJIhtmcjTYSJ6m4Tin2enF6cznpti0+zs/THLOQPU++BAMX3U6EQWGtlZHLgsSo+anPGQkEou&#10;2NzFNEbuI0ovaE17a6wtCq2W15bEBvKulG+XLL50s14Mjbw4mZ0U5Fe2+HcQziReemtcI88PeaDO&#10;JH7wLZcJdQJjR5mbtX7HaiZyHEjaLrfsmNldYvvE/BKOy83HyEKP9FOKgRe7kfHHGkhLYT95nlG+&#10;gr1Ae2G5F8ArDm1kkmIUr9N4LetAZtUz8rS07TGvSWcKqc9V7OrkZS1T2h1WvoaXevF6Pv/FLwAA&#10;AP//AwBQSwMEFAAGAAgAAAAhAKMqA3PfAAAACQEAAA8AAABkcnMvZG93bnJldi54bWxMj9FOg0AQ&#10;Rd9N/IfNmPhGdwG1FRkaNWl8sJhY+wFbGIHIzlJ2S/HvXZ/0cXJP7j2Tr2fTi4lG11lGiBcKBHFl&#10;644bhP3HJlqBcF5zrXvLhPBNDtbF5UWus9qe+Z2mnW9EKGGXaYTW+yGT0lUtGe0WdiAO2acdjfbh&#10;HBtZj/ocyk0vE6XupNEdh4VWD/TcUvW1OxmEbbx5pa48mpKOb9vqSXI5vaSI11fz4wMIT7P/g+FX&#10;P6hDEZwO9sS1Ez1CFKfqJrAIyTIFEYjoPgFxQFiqW5BFLv9/UPwAAAD//wMAUEsBAi0AFAAGAAgA&#10;AAAhALaDOJL+AAAA4QEAABMAAAAAAAAAAAAAAAAAAAAAAFtDb250ZW50X1R5cGVzXS54bWxQSwEC&#10;LQAUAAYACAAAACEAOP0h/9YAAACUAQAACwAAAAAAAAAAAAAAAAAvAQAAX3JlbHMvLnJlbHNQSwEC&#10;LQAUAAYACAAAACEAPHze1x8CAABGBAAADgAAAAAAAAAAAAAAAAAuAgAAZHJzL2Uyb0RvYy54bWxQ&#10;SwECLQAUAAYACAAAACEAoyoDc98AAAAJAQAADwAAAAAAAAAAAAAAAAB5BAAAZHJzL2Rvd25yZXYu&#10;eG1sUEsFBgAAAAAEAAQA8wAAAIUFAAAAAA==&#10;" fillcolor="black">
                <v:textbox inset="0,0,0,0">
                  <w:txbxContent>
                    <w:p w:rsidR="00483320" w:rsidRDefault="00483320" w:rsidP="00483320">
                      <w:pPr>
                        <w:spacing w:after="120"/>
                        <w:jc w:val="center"/>
                        <w:rPr>
                          <w:b/>
                          <w:color w:val="FFFFFF"/>
                          <w:sz w:val="32"/>
                        </w:rPr>
                      </w:pPr>
                      <w:r>
                        <w:rPr>
                          <w:b/>
                          <w:color w:val="FFFFFF"/>
                          <w:sz w:val="32"/>
                        </w:rPr>
                        <w:t>IFRS</w:t>
                      </w:r>
                    </w:p>
                  </w:txbxContent>
                </v:textbox>
              </v:shape>
            </w:pict>
          </mc:Fallback>
        </mc:AlternateContent>
      </w:r>
    </w:p>
    <w:tbl>
      <w:tblPr>
        <w:tblW w:w="0" w:type="auto"/>
        <w:tblInd w:w="8" w:type="dxa"/>
        <w:shd w:val="clear" w:color="auto" w:fill="CCFFFF"/>
        <w:tblLayout w:type="fixed"/>
        <w:tblCellMar>
          <w:left w:w="0" w:type="dxa"/>
          <w:right w:w="0" w:type="dxa"/>
        </w:tblCellMar>
        <w:tblLook w:val="0000" w:firstRow="0" w:lastRow="0" w:firstColumn="0" w:lastColumn="0" w:noHBand="0" w:noVBand="0"/>
      </w:tblPr>
      <w:tblGrid>
        <w:gridCol w:w="8040"/>
        <w:gridCol w:w="20"/>
      </w:tblGrid>
      <w:tr w:rsidR="00483320" w:rsidTr="0089663D">
        <w:tc>
          <w:tcPr>
            <w:tcW w:w="8040" w:type="dxa"/>
            <w:shd w:val="clear" w:color="auto" w:fill="CCFFFF"/>
          </w:tcPr>
          <w:p w:rsidR="00483320" w:rsidRDefault="00483320" w:rsidP="00483320">
            <w:pPr>
              <w:pStyle w:val="Head1"/>
              <w:rPr>
                <w:rFonts w:ascii="Times New Roman" w:hAnsi="Times New Roman"/>
                <w:b w:val="0"/>
              </w:rPr>
            </w:pPr>
          </w:p>
          <w:p w:rsidR="00483320" w:rsidRDefault="00483320" w:rsidP="00483320">
            <w:pPr>
              <w:pStyle w:val="Head1"/>
              <w:rPr>
                <w:rFonts w:ascii="Times New Roman" w:hAnsi="Times New Roman"/>
                <w:b w:val="0"/>
              </w:rPr>
            </w:pPr>
            <w:r>
              <w:rPr>
                <w:rFonts w:ascii="Times New Roman" w:hAnsi="Times New Roman"/>
                <w:b w:val="0"/>
              </w:rPr>
              <w:t xml:space="preserve">IFRS specifies two alternative formats that may be used for the “profit or loss” section of the </w:t>
            </w:r>
            <w:r w:rsidR="00B1773A">
              <w:rPr>
                <w:rFonts w:ascii="Times New Roman" w:hAnsi="Times New Roman"/>
                <w:b w:val="0"/>
              </w:rPr>
              <w:t>SCI</w:t>
            </w:r>
            <w:r>
              <w:rPr>
                <w:rFonts w:ascii="Times New Roman" w:hAnsi="Times New Roman"/>
                <w:b w:val="0"/>
              </w:rPr>
              <w:t>:</w:t>
            </w:r>
          </w:p>
          <w:p w:rsidR="00483320" w:rsidRDefault="00483320" w:rsidP="00483320">
            <w:pPr>
              <w:pStyle w:val="Head1"/>
              <w:numPr>
                <w:ilvl w:val="0"/>
                <w:numId w:val="13"/>
              </w:numPr>
              <w:rPr>
                <w:rFonts w:ascii="Times New Roman" w:hAnsi="Times New Roman"/>
                <w:b w:val="0"/>
              </w:rPr>
            </w:pPr>
            <w:r>
              <w:rPr>
                <w:rFonts w:ascii="Times New Roman" w:hAnsi="Times New Roman"/>
                <w:b w:val="0"/>
              </w:rPr>
              <w:t xml:space="preserve"> Classification by </w:t>
            </w:r>
            <w:r w:rsidRPr="00B1773A">
              <w:rPr>
                <w:rFonts w:ascii="Times New Roman" w:hAnsi="Times New Roman"/>
                <w:b w:val="0"/>
                <w:i/>
              </w:rPr>
              <w:t>nature of expense</w:t>
            </w:r>
          </w:p>
          <w:p w:rsidR="00483320" w:rsidRDefault="00483320" w:rsidP="00483320">
            <w:pPr>
              <w:pStyle w:val="Head1"/>
              <w:numPr>
                <w:ilvl w:val="0"/>
                <w:numId w:val="13"/>
              </w:numPr>
              <w:rPr>
                <w:rFonts w:ascii="Times New Roman" w:hAnsi="Times New Roman"/>
                <w:b w:val="0"/>
              </w:rPr>
            </w:pPr>
            <w:r>
              <w:rPr>
                <w:rFonts w:ascii="Times New Roman" w:hAnsi="Times New Roman"/>
                <w:b w:val="0"/>
              </w:rPr>
              <w:t xml:space="preserve">Classification by </w:t>
            </w:r>
            <w:r w:rsidRPr="00B1773A">
              <w:rPr>
                <w:rFonts w:ascii="Times New Roman" w:hAnsi="Times New Roman"/>
                <w:b w:val="0"/>
                <w:i/>
              </w:rPr>
              <w:t>function within the enterprise</w:t>
            </w:r>
          </w:p>
          <w:p w:rsidR="00483320" w:rsidRDefault="00483320" w:rsidP="0089663D">
            <w:pPr>
              <w:spacing w:after="120" w:line="240" w:lineRule="auto"/>
              <w:rPr>
                <w:rFonts w:ascii="Times New Roman" w:hAnsi="Times New Roman"/>
              </w:rPr>
            </w:pPr>
          </w:p>
        </w:tc>
        <w:tc>
          <w:tcPr>
            <w:tcW w:w="20" w:type="dxa"/>
            <w:shd w:val="clear" w:color="auto" w:fill="CCFFFF"/>
          </w:tcPr>
          <w:p w:rsidR="00483320" w:rsidRDefault="00483320" w:rsidP="0089663D">
            <w:pPr>
              <w:pStyle w:val="Head1"/>
              <w:spacing w:after="120"/>
              <w:rPr>
                <w:rFonts w:ascii="Times New Roman" w:hAnsi="Times New Roman"/>
              </w:rPr>
            </w:pPr>
          </w:p>
        </w:tc>
      </w:tr>
    </w:tbl>
    <w:p w:rsidR="001B785A" w:rsidRDefault="001B785A" w:rsidP="001B785A">
      <w:pPr>
        <w:pStyle w:val="Head1"/>
        <w:rPr>
          <w:rFonts w:ascii="Times New Roman" w:hAnsi="Times New Roman"/>
          <w:b w:val="0"/>
        </w:rPr>
      </w:pPr>
    </w:p>
    <w:p w:rsidR="004F27AB" w:rsidRDefault="004F27AB" w:rsidP="00662722">
      <w:pPr>
        <w:pStyle w:val="Head1"/>
        <w:rPr>
          <w:rFonts w:ascii="Times New Roman" w:hAnsi="Times New Roman"/>
          <w:b w:val="0"/>
        </w:rPr>
      </w:pPr>
      <w:r>
        <w:rPr>
          <w:rFonts w:ascii="Times New Roman" w:hAnsi="Times New Roman"/>
          <w:b w:val="0"/>
        </w:rPr>
        <w:t>Classification by type of expense will be on the basis of input costs – what the money was spent on.  Classification by function is an output-based presentation – what the expenditure was used for.</w:t>
      </w:r>
    </w:p>
    <w:p w:rsidR="004F27AB" w:rsidRDefault="004F27AB" w:rsidP="00662722">
      <w:pPr>
        <w:pStyle w:val="Head1"/>
        <w:rPr>
          <w:rFonts w:ascii="Times New Roman" w:hAnsi="Times New Roman"/>
          <w:b w:val="0"/>
        </w:rPr>
      </w:pPr>
      <w:r>
        <w:rPr>
          <w:rFonts w:ascii="Times New Roman" w:hAnsi="Times New Roman"/>
          <w:b w:val="0"/>
        </w:rPr>
        <w:t xml:space="preserve"> By Nature of Expense</w:t>
      </w:r>
      <w:r w:rsidR="0097522F">
        <w:rPr>
          <w:rFonts w:ascii="Times New Roman" w:hAnsi="Times New Roman"/>
          <w:b w:val="0"/>
        </w:rPr>
        <w:t xml:space="preserve"> </w:t>
      </w:r>
      <w:r>
        <w:rPr>
          <w:rFonts w:ascii="Times New Roman" w:hAnsi="Times New Roman"/>
          <w:b w:val="0"/>
        </w:rPr>
        <w:t xml:space="preserve"> - See Exhibit 3-1 for  an example using </w:t>
      </w:r>
      <w:r w:rsidR="00187994">
        <w:rPr>
          <w:rFonts w:ascii="Times New Roman" w:hAnsi="Times New Roman"/>
          <w:b w:val="0"/>
        </w:rPr>
        <w:t>Air Canada</w:t>
      </w:r>
    </w:p>
    <w:p w:rsidR="004F27AB" w:rsidRDefault="004F27AB" w:rsidP="00662722">
      <w:pPr>
        <w:pStyle w:val="Head1"/>
        <w:rPr>
          <w:rFonts w:ascii="Times New Roman" w:hAnsi="Times New Roman"/>
          <w:b w:val="0"/>
        </w:rPr>
      </w:pPr>
      <w:r>
        <w:rPr>
          <w:rFonts w:ascii="Times New Roman" w:hAnsi="Times New Roman"/>
          <w:b w:val="0"/>
        </w:rPr>
        <w:t>By Function of Expense</w:t>
      </w:r>
      <w:r w:rsidR="00ED1B00">
        <w:rPr>
          <w:rFonts w:ascii="Times New Roman" w:hAnsi="Times New Roman"/>
          <w:b w:val="0"/>
        </w:rPr>
        <w:t xml:space="preserve"> in two statements rather than one continuous statement</w:t>
      </w:r>
      <w:r>
        <w:rPr>
          <w:rFonts w:ascii="Times New Roman" w:hAnsi="Times New Roman"/>
          <w:b w:val="0"/>
        </w:rPr>
        <w:t xml:space="preserve"> – See Exhibit 3-2 </w:t>
      </w:r>
      <w:r w:rsidR="00ED1B00">
        <w:rPr>
          <w:rFonts w:ascii="Times New Roman" w:hAnsi="Times New Roman"/>
          <w:b w:val="0"/>
        </w:rPr>
        <w:t xml:space="preserve">and Exhibit 3-3 for </w:t>
      </w:r>
      <w:r>
        <w:rPr>
          <w:rFonts w:ascii="Times New Roman" w:hAnsi="Times New Roman"/>
          <w:b w:val="0"/>
        </w:rPr>
        <w:t>example</w:t>
      </w:r>
      <w:r w:rsidR="00ED1B00">
        <w:rPr>
          <w:rFonts w:ascii="Times New Roman" w:hAnsi="Times New Roman"/>
          <w:b w:val="0"/>
        </w:rPr>
        <w:t>s</w:t>
      </w:r>
      <w:r>
        <w:rPr>
          <w:rFonts w:ascii="Times New Roman" w:hAnsi="Times New Roman"/>
          <w:b w:val="0"/>
        </w:rPr>
        <w:t xml:space="preserve"> using </w:t>
      </w:r>
      <w:r w:rsidR="00187994">
        <w:rPr>
          <w:rFonts w:ascii="Times New Roman" w:hAnsi="Times New Roman"/>
          <w:b w:val="0"/>
        </w:rPr>
        <w:t>Bombardier</w:t>
      </w:r>
      <w:r>
        <w:rPr>
          <w:rFonts w:ascii="Times New Roman" w:hAnsi="Times New Roman"/>
          <w:b w:val="0"/>
        </w:rPr>
        <w:t>.</w:t>
      </w:r>
    </w:p>
    <w:p w:rsidR="004F27AB" w:rsidRDefault="004F27AB" w:rsidP="00662722">
      <w:pPr>
        <w:pStyle w:val="Head1"/>
        <w:rPr>
          <w:rFonts w:ascii="Times New Roman" w:hAnsi="Times New Roman"/>
          <w:b w:val="0"/>
        </w:rPr>
      </w:pPr>
    </w:p>
    <w:p w:rsidR="004F27AB" w:rsidRDefault="004F27AB" w:rsidP="00662722">
      <w:pPr>
        <w:pStyle w:val="Head1"/>
        <w:rPr>
          <w:rFonts w:ascii="Times New Roman" w:hAnsi="Times New Roman"/>
          <w:b w:val="0"/>
        </w:rPr>
      </w:pPr>
      <w:r>
        <w:rPr>
          <w:rFonts w:ascii="Times New Roman" w:hAnsi="Times New Roman"/>
          <w:b w:val="0"/>
        </w:rPr>
        <w:t>When a company reports on the basis of function</w:t>
      </w:r>
      <w:r w:rsidR="0022345F">
        <w:rPr>
          <w:rFonts w:ascii="Times New Roman" w:hAnsi="Times New Roman"/>
          <w:b w:val="0"/>
        </w:rPr>
        <w:t>, the other required information such as employee benefit expense and depreciation expense are shown in the notes.</w:t>
      </w:r>
    </w:p>
    <w:p w:rsidR="001B2AE7" w:rsidRDefault="001B2AE7" w:rsidP="00662722">
      <w:pPr>
        <w:pStyle w:val="Head1"/>
        <w:rPr>
          <w:rFonts w:ascii="Times New Roman" w:hAnsi="Times New Roman"/>
          <w:b w:val="0"/>
        </w:rPr>
      </w:pPr>
    </w:p>
    <w:p w:rsidR="0022345F" w:rsidRPr="00483320" w:rsidRDefault="0022345F" w:rsidP="0022345F">
      <w:pPr>
        <w:pStyle w:val="Head1"/>
        <w:rPr>
          <w:rFonts w:ascii="Times New Roman" w:hAnsi="Times New Roman"/>
        </w:rPr>
      </w:pPr>
      <w:r w:rsidRPr="00483320">
        <w:rPr>
          <w:rFonts w:ascii="Times New Roman" w:hAnsi="Times New Roman"/>
        </w:rPr>
        <w:t>Non-controlling Interest</w:t>
      </w:r>
    </w:p>
    <w:p w:rsidR="0022345F" w:rsidRPr="0022345F" w:rsidRDefault="0022345F" w:rsidP="0022345F">
      <w:pPr>
        <w:pStyle w:val="Head1"/>
        <w:rPr>
          <w:rFonts w:ascii="Times New Roman" w:hAnsi="Times New Roman"/>
        </w:rPr>
      </w:pPr>
      <w:r>
        <w:rPr>
          <w:rFonts w:ascii="Times New Roman" w:hAnsi="Times New Roman"/>
          <w:b w:val="0"/>
        </w:rPr>
        <w:t xml:space="preserve">A consolidated income statement includes the revenues and expenses of both the parent company and of the subsidiaries that it controls.  The final net income figure must be allocated proportionately to the controlling interest and the </w:t>
      </w:r>
      <w:r w:rsidRPr="0022345F">
        <w:rPr>
          <w:rFonts w:ascii="Times New Roman" w:hAnsi="Times New Roman"/>
        </w:rPr>
        <w:t>non-controlling interest (NCI).</w:t>
      </w:r>
      <w:r w:rsidR="00A37ABF">
        <w:rPr>
          <w:rFonts w:ascii="Times New Roman" w:hAnsi="Times New Roman"/>
        </w:rPr>
        <w:t xml:space="preserve">  </w:t>
      </w:r>
      <w:r w:rsidR="00A37ABF">
        <w:rPr>
          <w:rFonts w:ascii="Times New Roman" w:hAnsi="Times New Roman"/>
          <w:b w:val="0"/>
        </w:rPr>
        <w:t>Exhibit 3-2 for Bombardier includes this allocation.</w:t>
      </w:r>
    </w:p>
    <w:p w:rsidR="002F41CF" w:rsidRDefault="002F41CF">
      <w:pPr>
        <w:spacing w:line="240" w:lineRule="auto"/>
        <w:rPr>
          <w:rFonts w:ascii="Times New Roman" w:hAnsi="Times New Roman"/>
          <w:b/>
        </w:rPr>
      </w:pPr>
      <w:r>
        <w:rPr>
          <w:rFonts w:ascii="Times New Roman" w:hAnsi="Times New Roman"/>
        </w:rPr>
        <w:br w:type="page"/>
      </w:r>
    </w:p>
    <w:p w:rsidR="00E07C7C" w:rsidRDefault="007A2535" w:rsidP="00E07C7C">
      <w:pPr>
        <w:pStyle w:val="Head1"/>
        <w:spacing w:before="120"/>
        <w:rPr>
          <w:rFonts w:ascii="Times New Roman" w:hAnsi="Times New Roman"/>
        </w:rPr>
      </w:pPr>
      <w:r>
        <w:rPr>
          <w:rFonts w:ascii="Times New Roman" w:hAnsi="Times New Roman"/>
        </w:rPr>
        <w:lastRenderedPageBreak/>
        <w:t>E</w:t>
      </w:r>
      <w:r w:rsidR="00E07C7C">
        <w:rPr>
          <w:rFonts w:ascii="Times New Roman" w:hAnsi="Times New Roman"/>
        </w:rPr>
        <w:t>arnings per share</w:t>
      </w:r>
    </w:p>
    <w:p w:rsidR="00E07C7C" w:rsidRDefault="00E07C7C" w:rsidP="00E07C7C">
      <w:pPr>
        <w:rPr>
          <w:rFonts w:ascii="Times New Roman" w:hAnsi="Times New Roman"/>
        </w:rPr>
      </w:pPr>
      <w:r>
        <w:rPr>
          <w:rFonts w:ascii="Times New Roman" w:hAnsi="Times New Roman"/>
        </w:rPr>
        <w:t xml:space="preserve">Public companies are required to report earnings per share (EPS) on the face of the income statement. </w:t>
      </w:r>
      <w:r w:rsidR="00A37ABF">
        <w:rPr>
          <w:rFonts w:ascii="Times New Roman" w:hAnsi="Times New Roman"/>
        </w:rPr>
        <w:t xml:space="preserve">EPS must be reported for continuing operations, discontinued operations and net income, both basic and diluted.  </w:t>
      </w:r>
      <w:r>
        <w:rPr>
          <w:rFonts w:ascii="Times New Roman" w:hAnsi="Times New Roman"/>
        </w:rPr>
        <w:t>A company must also disclose the weighted average number of shares used in the EPS calculations.</w:t>
      </w:r>
    </w:p>
    <w:p w:rsidR="00E07C7C" w:rsidRDefault="00E07C7C" w:rsidP="00E07C7C">
      <w:pPr>
        <w:rPr>
          <w:rFonts w:ascii="Times New Roman" w:hAnsi="Times New Roman"/>
        </w:rPr>
      </w:pPr>
    </w:p>
    <w:p w:rsidR="00A37ABF" w:rsidRDefault="00E07C7C" w:rsidP="00E07C7C">
      <w:pPr>
        <w:rPr>
          <w:rFonts w:ascii="Times New Roman" w:hAnsi="Times New Roman"/>
        </w:rPr>
      </w:pPr>
      <w:r>
        <w:rPr>
          <w:rFonts w:ascii="Times New Roman" w:hAnsi="Times New Roman"/>
          <w:b/>
        </w:rPr>
        <w:t>Basic earnings per share</w:t>
      </w:r>
      <w:r>
        <w:rPr>
          <w:rFonts w:ascii="Times New Roman" w:hAnsi="Times New Roman"/>
        </w:rPr>
        <w:t xml:space="preserve"> is computed by dividing reported net income</w:t>
      </w:r>
      <w:r w:rsidR="00A37ABF">
        <w:rPr>
          <w:rFonts w:ascii="Times New Roman" w:hAnsi="Times New Roman"/>
        </w:rPr>
        <w:t xml:space="preserve"> (not total comprehensive income)</w:t>
      </w:r>
      <w:r>
        <w:rPr>
          <w:rFonts w:ascii="Times New Roman" w:hAnsi="Times New Roman"/>
        </w:rPr>
        <w:t xml:space="preserve"> less pre</w:t>
      </w:r>
      <w:r>
        <w:rPr>
          <w:rFonts w:ascii="Times New Roman" w:hAnsi="Times New Roman"/>
        </w:rPr>
        <w:softHyphen/>
        <w:t xml:space="preserve">ferred share divided by the weighted average number of common shares. </w:t>
      </w:r>
    </w:p>
    <w:p w:rsidR="002F41CF" w:rsidRDefault="002F41CF" w:rsidP="00E07C7C">
      <w:pPr>
        <w:rPr>
          <w:rFonts w:ascii="Times New Roman" w:hAnsi="Times New Roman"/>
          <w:b/>
        </w:rPr>
      </w:pPr>
    </w:p>
    <w:p w:rsidR="00E07C7C" w:rsidRDefault="00E07C7C" w:rsidP="00E07C7C">
      <w:pPr>
        <w:rPr>
          <w:rFonts w:ascii="Times New Roman" w:hAnsi="Times New Roman"/>
        </w:rPr>
      </w:pPr>
      <w:r>
        <w:rPr>
          <w:rFonts w:ascii="Times New Roman" w:hAnsi="Times New Roman"/>
          <w:b/>
        </w:rPr>
        <w:t xml:space="preserve">Diluted earnings per share </w:t>
      </w:r>
      <w:r w:rsidRPr="00E07C7C">
        <w:rPr>
          <w:rFonts w:ascii="Times New Roman" w:hAnsi="Times New Roman"/>
        </w:rPr>
        <w:t>is computed by using the weighted average of all shares that would have been outstanding if all conversion privileges had been exercised by the holders of convertible b</w:t>
      </w:r>
      <w:r w:rsidR="00A37ABF">
        <w:rPr>
          <w:rFonts w:ascii="Times New Roman" w:hAnsi="Times New Roman"/>
        </w:rPr>
        <w:t>onds, preferred shares and other complex instruments</w:t>
      </w:r>
      <w:r w:rsidRPr="00E07C7C">
        <w:rPr>
          <w:rFonts w:ascii="Times New Roman" w:hAnsi="Times New Roman"/>
        </w:rPr>
        <w:t xml:space="preserve">.  </w:t>
      </w:r>
    </w:p>
    <w:p w:rsidR="00E07C7C" w:rsidRDefault="00E07C7C" w:rsidP="00E07C7C">
      <w:pPr>
        <w:rPr>
          <w:rFonts w:ascii="Times New Roman" w:hAnsi="Times New Roman"/>
        </w:rPr>
      </w:pPr>
    </w:p>
    <w:p w:rsidR="00E07C7C" w:rsidRDefault="00E07C7C" w:rsidP="00E07C7C">
      <w:pPr>
        <w:rPr>
          <w:rFonts w:ascii="Times New Roman" w:hAnsi="Times New Roman"/>
        </w:rPr>
      </w:pPr>
      <w:r>
        <w:rPr>
          <w:rFonts w:ascii="Times New Roman" w:hAnsi="Times New Roman"/>
        </w:rPr>
        <w:t>If the company reports discontinued operations, EPS must be reported in three steps:</w:t>
      </w:r>
    </w:p>
    <w:p w:rsidR="00E07C7C" w:rsidRDefault="00E07C7C" w:rsidP="00E07C7C">
      <w:pPr>
        <w:numPr>
          <w:ilvl w:val="0"/>
          <w:numId w:val="29"/>
        </w:numPr>
        <w:rPr>
          <w:rFonts w:ascii="Times New Roman" w:hAnsi="Times New Roman"/>
        </w:rPr>
      </w:pPr>
      <w:r>
        <w:rPr>
          <w:rFonts w:ascii="Times New Roman" w:hAnsi="Times New Roman"/>
        </w:rPr>
        <w:t>EPS (basic and diluted) for continuing operations</w:t>
      </w:r>
    </w:p>
    <w:p w:rsidR="00E07C7C" w:rsidRDefault="00E07C7C" w:rsidP="00E07C7C">
      <w:pPr>
        <w:numPr>
          <w:ilvl w:val="0"/>
          <w:numId w:val="29"/>
        </w:numPr>
        <w:rPr>
          <w:rFonts w:ascii="Times New Roman" w:hAnsi="Times New Roman"/>
        </w:rPr>
      </w:pPr>
      <w:r>
        <w:rPr>
          <w:rFonts w:ascii="Times New Roman" w:hAnsi="Times New Roman"/>
        </w:rPr>
        <w:t>EPS (basic and diluted) for discontinued operations</w:t>
      </w:r>
    </w:p>
    <w:p w:rsidR="00E07C7C" w:rsidRPr="00E07C7C" w:rsidRDefault="00E07C7C" w:rsidP="00E07C7C">
      <w:pPr>
        <w:numPr>
          <w:ilvl w:val="0"/>
          <w:numId w:val="29"/>
        </w:numPr>
        <w:rPr>
          <w:rFonts w:ascii="Times New Roman" w:hAnsi="Times New Roman"/>
        </w:rPr>
      </w:pPr>
      <w:r>
        <w:rPr>
          <w:rFonts w:ascii="Times New Roman" w:hAnsi="Times New Roman"/>
        </w:rPr>
        <w:t>Total EPS (basic and diluted)</w:t>
      </w:r>
    </w:p>
    <w:p w:rsidR="00E07C7C" w:rsidRDefault="00E07C7C" w:rsidP="00E07C7C">
      <w:pPr>
        <w:pStyle w:val="Head1"/>
        <w:rPr>
          <w:rFonts w:ascii="Times New Roman" w:hAnsi="Times New Roman"/>
          <w:b w:val="0"/>
        </w:rPr>
      </w:pPr>
    </w:p>
    <w:p w:rsidR="00A17648" w:rsidRPr="0022345F" w:rsidRDefault="0022345F">
      <w:pPr>
        <w:rPr>
          <w:rFonts w:ascii="Times New Roman" w:hAnsi="Times New Roman"/>
          <w:b/>
        </w:rPr>
      </w:pPr>
      <w:r w:rsidRPr="0022345F">
        <w:rPr>
          <w:rFonts w:ascii="Times New Roman" w:hAnsi="Times New Roman"/>
          <w:b/>
        </w:rPr>
        <w:t>Single-step versus Multiple-step Statements</w:t>
      </w:r>
    </w:p>
    <w:p w:rsidR="00A17648" w:rsidRDefault="0022345F">
      <w:pPr>
        <w:rPr>
          <w:rFonts w:ascii="Times New Roman" w:hAnsi="Times New Roman"/>
        </w:rPr>
      </w:pPr>
      <w:r>
        <w:rPr>
          <w:rFonts w:ascii="Times New Roman" w:hAnsi="Times New Roman"/>
        </w:rPr>
        <w:t>There is no specified</w:t>
      </w:r>
      <w:r w:rsidR="00A17648">
        <w:rPr>
          <w:rFonts w:ascii="Times New Roman" w:hAnsi="Times New Roman"/>
        </w:rPr>
        <w:t xml:space="preserve"> format for organizing and presenting the elements of income.  Two common formats are:</w:t>
      </w:r>
    </w:p>
    <w:p w:rsidR="00A17648" w:rsidRDefault="00A17648">
      <w:pPr>
        <w:pStyle w:val="bullet"/>
        <w:rPr>
          <w:rFonts w:ascii="Times New Roman" w:hAnsi="Times New Roman"/>
        </w:rPr>
      </w:pPr>
      <w:r>
        <w:rPr>
          <w:rFonts w:ascii="Times New Roman" w:hAnsi="Times New Roman"/>
        </w:rPr>
        <w:t>•</w:t>
      </w:r>
      <w:r>
        <w:rPr>
          <w:rFonts w:ascii="Times New Roman" w:hAnsi="Times New Roman"/>
        </w:rPr>
        <w:tab/>
      </w:r>
      <w:r>
        <w:rPr>
          <w:rFonts w:ascii="Times New Roman" w:hAnsi="Times New Roman"/>
          <w:b/>
        </w:rPr>
        <w:t>Single-step format</w:t>
      </w:r>
      <w:r>
        <w:rPr>
          <w:rFonts w:ascii="Times New Roman" w:hAnsi="Times New Roman"/>
        </w:rPr>
        <w:t xml:space="preserve">, which uses only two broad classification sections: </w:t>
      </w:r>
      <w:r>
        <w:rPr>
          <w:rFonts w:ascii="Times New Roman" w:hAnsi="Times New Roman"/>
          <w:i/>
        </w:rPr>
        <w:t xml:space="preserve">revenues and </w:t>
      </w:r>
      <w:r w:rsidR="007A2535">
        <w:rPr>
          <w:rFonts w:ascii="Times New Roman" w:hAnsi="Times New Roman"/>
          <w:i/>
        </w:rPr>
        <w:t>other income</w:t>
      </w:r>
      <w:r>
        <w:rPr>
          <w:rFonts w:ascii="Times New Roman" w:hAnsi="Times New Roman"/>
          <w:i/>
        </w:rPr>
        <w:t xml:space="preserve">, </w:t>
      </w:r>
      <w:r>
        <w:rPr>
          <w:rFonts w:ascii="Times New Roman" w:hAnsi="Times New Roman"/>
        </w:rPr>
        <w:t xml:space="preserve">and </w:t>
      </w:r>
      <w:r>
        <w:rPr>
          <w:rFonts w:ascii="Times New Roman" w:hAnsi="Times New Roman"/>
          <w:i/>
        </w:rPr>
        <w:t>expenses and losses</w:t>
      </w:r>
      <w:r>
        <w:rPr>
          <w:rFonts w:ascii="Times New Roman" w:hAnsi="Times New Roman"/>
        </w:rPr>
        <w:t>. This has the advantage of simplicity</w:t>
      </w:r>
      <w:r w:rsidR="0022345F">
        <w:rPr>
          <w:rFonts w:ascii="Times New Roman" w:hAnsi="Times New Roman"/>
        </w:rPr>
        <w:t xml:space="preserve"> but is rarely used in practice.</w:t>
      </w:r>
    </w:p>
    <w:p w:rsidR="00A17648" w:rsidRDefault="00A17648" w:rsidP="0022345F">
      <w:pPr>
        <w:pStyle w:val="bullet"/>
        <w:rPr>
          <w:rFonts w:ascii="Times New Roman" w:hAnsi="Times New Roman"/>
        </w:rPr>
      </w:pPr>
      <w:r>
        <w:rPr>
          <w:rFonts w:ascii="Times New Roman" w:hAnsi="Times New Roman"/>
          <w:b/>
        </w:rPr>
        <w:t xml:space="preserve"> </w:t>
      </w:r>
      <w:r>
        <w:rPr>
          <w:rFonts w:ascii="Times New Roman" w:hAnsi="Times New Roman"/>
        </w:rPr>
        <w:t>•</w:t>
      </w:r>
      <w:r>
        <w:rPr>
          <w:rFonts w:ascii="Times New Roman" w:hAnsi="Times New Roman"/>
        </w:rPr>
        <w:tab/>
      </w:r>
      <w:r>
        <w:rPr>
          <w:rFonts w:ascii="Times New Roman" w:hAnsi="Times New Roman"/>
          <w:b/>
        </w:rPr>
        <w:t xml:space="preserve">Multiple-step, fully classified </w:t>
      </w:r>
      <w:r>
        <w:rPr>
          <w:rFonts w:ascii="Times New Roman" w:hAnsi="Times New Roman"/>
        </w:rPr>
        <w:t xml:space="preserve">is illustrated in </w:t>
      </w:r>
      <w:r w:rsidR="0022345F">
        <w:rPr>
          <w:rFonts w:ascii="Times New Roman" w:hAnsi="Times New Roman"/>
        </w:rPr>
        <w:t xml:space="preserve">Exhibits 3-1 </w:t>
      </w:r>
      <w:r w:rsidR="00BD7A80">
        <w:rPr>
          <w:rFonts w:ascii="Times New Roman" w:hAnsi="Times New Roman"/>
        </w:rPr>
        <w:t xml:space="preserve">(Air Canada) </w:t>
      </w:r>
      <w:r w:rsidR="0022345F">
        <w:rPr>
          <w:rFonts w:ascii="Times New Roman" w:hAnsi="Times New Roman"/>
        </w:rPr>
        <w:t>and 3-2</w:t>
      </w:r>
      <w:r w:rsidR="00BD7A80">
        <w:rPr>
          <w:rFonts w:ascii="Times New Roman" w:hAnsi="Times New Roman"/>
        </w:rPr>
        <w:t xml:space="preserve"> (Bombardier)</w:t>
      </w:r>
      <w:r w:rsidR="0022345F">
        <w:rPr>
          <w:rFonts w:ascii="Times New Roman" w:hAnsi="Times New Roman"/>
        </w:rPr>
        <w:t xml:space="preserve"> in</w:t>
      </w:r>
      <w:r>
        <w:rPr>
          <w:rFonts w:ascii="Times New Roman" w:hAnsi="Times New Roman"/>
        </w:rPr>
        <w:t xml:space="preserve"> the textbook. This format highlights important relationships and intermediate subtotals. </w:t>
      </w:r>
    </w:p>
    <w:p w:rsidR="00BD7A80" w:rsidRDefault="00BD7A80" w:rsidP="0022345F">
      <w:pPr>
        <w:pStyle w:val="bullet"/>
        <w:rPr>
          <w:rFonts w:ascii="Times New Roman" w:hAnsi="Times New Roman"/>
        </w:rPr>
      </w:pPr>
      <w:r>
        <w:rPr>
          <w:rFonts w:ascii="Times New Roman" w:hAnsi="Times New Roman"/>
        </w:rPr>
        <w:t xml:space="preserve">Both companies present amounts for </w:t>
      </w:r>
    </w:p>
    <w:p w:rsidR="00BD7A80" w:rsidRDefault="00BD7A80" w:rsidP="00BD7A80">
      <w:pPr>
        <w:pStyle w:val="bullet"/>
        <w:numPr>
          <w:ilvl w:val="0"/>
          <w:numId w:val="38"/>
        </w:numPr>
        <w:rPr>
          <w:rFonts w:ascii="Times New Roman" w:hAnsi="Times New Roman"/>
        </w:rPr>
      </w:pPr>
      <w:r>
        <w:rPr>
          <w:rFonts w:ascii="Times New Roman" w:hAnsi="Times New Roman"/>
        </w:rPr>
        <w:t>Earnings before interest and taxes (EBIT) and</w:t>
      </w:r>
    </w:p>
    <w:p w:rsidR="00BD7A80" w:rsidRDefault="00BD7A80" w:rsidP="00BD7A80">
      <w:pPr>
        <w:pStyle w:val="bullet"/>
        <w:numPr>
          <w:ilvl w:val="0"/>
          <w:numId w:val="38"/>
        </w:numPr>
        <w:rPr>
          <w:rFonts w:ascii="Times New Roman" w:hAnsi="Times New Roman"/>
        </w:rPr>
      </w:pPr>
      <w:r>
        <w:rPr>
          <w:rFonts w:ascii="Times New Roman" w:hAnsi="Times New Roman"/>
        </w:rPr>
        <w:t>Earnings before income taxes (EBT)</w:t>
      </w:r>
    </w:p>
    <w:p w:rsidR="00BD7A80" w:rsidRDefault="00BD7A80" w:rsidP="00BD7A80">
      <w:pPr>
        <w:pStyle w:val="bullet"/>
        <w:rPr>
          <w:rFonts w:ascii="Times New Roman" w:hAnsi="Times New Roman"/>
        </w:rPr>
      </w:pPr>
    </w:p>
    <w:p w:rsidR="0022345F" w:rsidRDefault="00BD7A80" w:rsidP="00BD7A80">
      <w:pPr>
        <w:pStyle w:val="bullet"/>
        <w:rPr>
          <w:rFonts w:ascii="Times New Roman" w:hAnsi="Times New Roman"/>
        </w:rPr>
      </w:pPr>
      <w:r>
        <w:rPr>
          <w:rFonts w:ascii="Times New Roman" w:hAnsi="Times New Roman"/>
        </w:rPr>
        <w:t xml:space="preserve">However, although both companies are using a multiple-step format, the subtotal lines chosen vary between the companies. </w:t>
      </w:r>
      <w:r w:rsidR="0022345F" w:rsidRPr="00BD7A80">
        <w:rPr>
          <w:rFonts w:ascii="Times New Roman" w:hAnsi="Times New Roman"/>
        </w:rPr>
        <w:t xml:space="preserve">Unusual items are separated out by many companies, which are </w:t>
      </w:r>
      <w:r>
        <w:rPr>
          <w:rFonts w:ascii="Times New Roman" w:hAnsi="Times New Roman"/>
        </w:rPr>
        <w:t xml:space="preserve">usually </w:t>
      </w:r>
      <w:r w:rsidR="0022345F" w:rsidRPr="00BD7A80">
        <w:rPr>
          <w:rFonts w:ascii="Times New Roman" w:hAnsi="Times New Roman"/>
        </w:rPr>
        <w:t>gains and losses not part of normal earnings.</w:t>
      </w:r>
    </w:p>
    <w:p w:rsidR="00A17648" w:rsidRDefault="00BD7A80" w:rsidP="00BD7A80">
      <w:pPr>
        <w:rPr>
          <w:rFonts w:ascii="Times New Roman" w:hAnsi="Times New Roman"/>
        </w:rPr>
      </w:pPr>
      <w:r>
        <w:rPr>
          <w:rFonts w:ascii="Times New Roman" w:hAnsi="Times New Roman"/>
        </w:rPr>
        <w:tab/>
      </w:r>
    </w:p>
    <w:p w:rsidR="00BD7A80" w:rsidRDefault="00BD7A80" w:rsidP="002831CB">
      <w:pPr>
        <w:pStyle w:val="bullet"/>
        <w:rPr>
          <w:rFonts w:ascii="Times New Roman" w:hAnsi="Times New Roman"/>
        </w:rPr>
      </w:pPr>
      <w:r w:rsidRPr="00BD7A80">
        <w:rPr>
          <w:rFonts w:ascii="Times New Roman" w:hAnsi="Times New Roman"/>
        </w:rPr>
        <w:t>One item that does require special attention is discontinued operations. The results of operations that have been discontinued (e.g., sold) during the reporting period are relevant for measuring profit or loss for the period but are irrelevant as a basis for predicting future earnings. Thus, if a company reports discontinued operations, additional subtotals must be provided both before and after discontinued operations—(1) earnings from continuing operations after tax and (2) earnings after discontinued operations net of tax.</w:t>
      </w:r>
    </w:p>
    <w:p w:rsidR="00BD7A80" w:rsidRDefault="00BD7A80">
      <w:pPr>
        <w:ind w:left="720"/>
        <w:rPr>
          <w:rFonts w:ascii="Times New Roman" w:hAnsi="Times New Roman"/>
        </w:rPr>
      </w:pPr>
    </w:p>
    <w:p w:rsidR="002F41CF" w:rsidRDefault="002F41CF">
      <w:pPr>
        <w:spacing w:line="240" w:lineRule="auto"/>
        <w:rPr>
          <w:rFonts w:ascii="Times New Roman" w:hAnsi="Times New Roman"/>
          <w:b/>
        </w:rPr>
      </w:pPr>
      <w:r>
        <w:rPr>
          <w:rFonts w:ascii="Times New Roman" w:hAnsi="Times New Roman"/>
          <w:b/>
        </w:rPr>
        <w:br w:type="page"/>
      </w:r>
    </w:p>
    <w:p w:rsidR="00A17648" w:rsidRDefault="007A2535">
      <w:pPr>
        <w:rPr>
          <w:rFonts w:ascii="Times New Roman" w:hAnsi="Times New Roman"/>
          <w:b/>
        </w:rPr>
      </w:pPr>
      <w:r w:rsidRPr="007A2535">
        <w:rPr>
          <w:rFonts w:ascii="Times New Roman" w:hAnsi="Times New Roman"/>
          <w:b/>
        </w:rPr>
        <w:lastRenderedPageBreak/>
        <w:t>Other Comprehensive Income</w:t>
      </w:r>
    </w:p>
    <w:p w:rsidR="007A2535" w:rsidRPr="007A2535" w:rsidRDefault="007A2535">
      <w:pPr>
        <w:rPr>
          <w:rFonts w:ascii="Times New Roman" w:hAnsi="Times New Roman"/>
        </w:rPr>
      </w:pPr>
      <w:r w:rsidRPr="007A2535">
        <w:rPr>
          <w:rFonts w:ascii="Times New Roman" w:hAnsi="Times New Roman"/>
        </w:rPr>
        <w:t>Exhibit 3-3 show’s Bombardier’s consolidated SCI  The SCI format is straightforward:</w:t>
      </w:r>
    </w:p>
    <w:p w:rsidR="007A2535" w:rsidRPr="007A2535" w:rsidRDefault="007A2535" w:rsidP="007A2535">
      <w:pPr>
        <w:numPr>
          <w:ilvl w:val="0"/>
          <w:numId w:val="30"/>
        </w:numPr>
        <w:rPr>
          <w:rFonts w:ascii="Times New Roman" w:hAnsi="Times New Roman"/>
        </w:rPr>
      </w:pPr>
      <w:r w:rsidRPr="007A2535">
        <w:rPr>
          <w:rFonts w:ascii="Times New Roman" w:hAnsi="Times New Roman"/>
        </w:rPr>
        <w:t>Net income</w:t>
      </w:r>
      <w:r w:rsidR="00BD7A80">
        <w:rPr>
          <w:rFonts w:ascii="Times New Roman" w:hAnsi="Times New Roman"/>
        </w:rPr>
        <w:t xml:space="preserve"> (loss)</w:t>
      </w:r>
      <w:r w:rsidRPr="007A2535">
        <w:rPr>
          <w:rFonts w:ascii="Times New Roman" w:hAnsi="Times New Roman"/>
        </w:rPr>
        <w:t>/earnings/profit</w:t>
      </w:r>
    </w:p>
    <w:p w:rsidR="007A2535" w:rsidRDefault="007A2535" w:rsidP="007A2535">
      <w:pPr>
        <w:numPr>
          <w:ilvl w:val="0"/>
          <w:numId w:val="30"/>
        </w:numPr>
        <w:rPr>
          <w:rFonts w:ascii="Times New Roman" w:hAnsi="Times New Roman"/>
        </w:rPr>
      </w:pPr>
      <w:r w:rsidRPr="007A2535">
        <w:rPr>
          <w:rFonts w:ascii="Times New Roman" w:hAnsi="Times New Roman"/>
        </w:rPr>
        <w:t xml:space="preserve">The items of OCI, segregated into two categories: Items </w:t>
      </w:r>
      <w:r w:rsidR="00BD7A80">
        <w:rPr>
          <w:rFonts w:ascii="Times New Roman" w:hAnsi="Times New Roman"/>
        </w:rPr>
        <w:t xml:space="preserve">that may be </w:t>
      </w:r>
      <w:r w:rsidRPr="007A2535">
        <w:rPr>
          <w:rFonts w:ascii="Times New Roman" w:hAnsi="Times New Roman"/>
        </w:rPr>
        <w:t>reclassified to earnings</w:t>
      </w:r>
      <w:r w:rsidR="00BD7A80">
        <w:rPr>
          <w:rFonts w:ascii="Times New Roman" w:hAnsi="Times New Roman"/>
        </w:rPr>
        <w:t xml:space="preserve"> (net income)</w:t>
      </w:r>
      <w:r w:rsidRPr="007A2535">
        <w:rPr>
          <w:rFonts w:ascii="Times New Roman" w:hAnsi="Times New Roman"/>
        </w:rPr>
        <w:t xml:space="preserve"> and items that</w:t>
      </w:r>
      <w:r w:rsidR="00BD7A80">
        <w:rPr>
          <w:rFonts w:ascii="Times New Roman" w:hAnsi="Times New Roman"/>
        </w:rPr>
        <w:t xml:space="preserve"> are never </w:t>
      </w:r>
      <w:r w:rsidRPr="007A2535">
        <w:rPr>
          <w:rFonts w:ascii="Times New Roman" w:hAnsi="Times New Roman"/>
        </w:rPr>
        <w:t>reclassified to earnings</w:t>
      </w:r>
    </w:p>
    <w:p w:rsidR="007A2535" w:rsidRDefault="007A2535" w:rsidP="007A2535">
      <w:pPr>
        <w:numPr>
          <w:ilvl w:val="0"/>
          <w:numId w:val="30"/>
        </w:numPr>
        <w:rPr>
          <w:rFonts w:ascii="Times New Roman" w:hAnsi="Times New Roman"/>
        </w:rPr>
      </w:pPr>
      <w:r>
        <w:rPr>
          <w:rFonts w:ascii="Times New Roman" w:hAnsi="Times New Roman"/>
        </w:rPr>
        <w:t>The total comprehensive income allocated to the company’s shareholders and NCI</w:t>
      </w:r>
    </w:p>
    <w:p w:rsidR="002F41CF" w:rsidRDefault="002F41CF" w:rsidP="002F41CF">
      <w:pPr>
        <w:rPr>
          <w:rFonts w:ascii="Times New Roman" w:hAnsi="Times New Roman"/>
          <w:b/>
        </w:rPr>
      </w:pPr>
    </w:p>
    <w:p w:rsidR="002831CB" w:rsidRDefault="002831CB" w:rsidP="002F41CF">
      <w:pPr>
        <w:rPr>
          <w:rFonts w:ascii="Times New Roman" w:hAnsi="Times New Roman"/>
          <w:b/>
        </w:rPr>
      </w:pPr>
      <w:r>
        <w:rPr>
          <w:rFonts w:ascii="Times New Roman" w:hAnsi="Times New Roman"/>
          <w:b/>
        </w:rPr>
        <w:t xml:space="preserve">Net Income or </w:t>
      </w:r>
      <w:r w:rsidRPr="007A2535">
        <w:rPr>
          <w:rFonts w:ascii="Times New Roman" w:hAnsi="Times New Roman"/>
          <w:b/>
        </w:rPr>
        <w:t>Comprehensive Income</w:t>
      </w:r>
      <w:r>
        <w:rPr>
          <w:rFonts w:ascii="Times New Roman" w:hAnsi="Times New Roman"/>
          <w:b/>
        </w:rPr>
        <w:t>?</w:t>
      </w:r>
    </w:p>
    <w:p w:rsidR="002831CB" w:rsidRPr="002831CB" w:rsidRDefault="002831CB" w:rsidP="002831CB">
      <w:pPr>
        <w:pStyle w:val="bchtx"/>
        <w:spacing w:after="120" w:line="240" w:lineRule="auto"/>
        <w:rPr>
          <w:rFonts w:ascii="Times New Roman" w:hAnsi="Times New Roman" w:cs="Times New Roman"/>
          <w:color w:val="auto"/>
          <w:sz w:val="24"/>
          <w:szCs w:val="20"/>
          <w:lang w:eastAsia="en-US" w:bidi="ar-SA"/>
        </w:rPr>
      </w:pPr>
      <w:r>
        <w:rPr>
          <w:rFonts w:ascii="Times New Roman" w:hAnsi="Times New Roman" w:cs="Times New Roman"/>
          <w:color w:val="auto"/>
          <w:sz w:val="24"/>
          <w:szCs w:val="20"/>
          <w:lang w:eastAsia="en-US" w:bidi="ar-SA"/>
        </w:rPr>
        <w:t>W</w:t>
      </w:r>
      <w:r w:rsidRPr="002831CB">
        <w:rPr>
          <w:rFonts w:ascii="Times New Roman" w:hAnsi="Times New Roman" w:cs="Times New Roman"/>
          <w:color w:val="auto"/>
          <w:sz w:val="24"/>
          <w:szCs w:val="20"/>
          <w:lang w:eastAsia="en-US" w:bidi="ar-SA"/>
        </w:rPr>
        <w:t>hat is the “correct” measure of a company’s earnings? IFRS seems to give us at least three options: (1) earnings after tax from continuing operations, (2) net income, or (3) comprehensive income.</w:t>
      </w:r>
    </w:p>
    <w:p w:rsidR="002831CB" w:rsidRDefault="002831CB" w:rsidP="007A2535">
      <w:pPr>
        <w:rPr>
          <w:rFonts w:ascii="Times New Roman" w:hAnsi="Times New Roman"/>
        </w:rPr>
      </w:pPr>
      <w:r w:rsidRPr="002831CB">
        <w:rPr>
          <w:rFonts w:ascii="Times New Roman" w:hAnsi="Times New Roman"/>
        </w:rPr>
        <w:t>The only EPS figures that IFRS requires are those based on net income, both before and after discontinued operations</w:t>
      </w:r>
      <w:r>
        <w:rPr>
          <w:sz w:val="20"/>
        </w:rPr>
        <w:t>.</w:t>
      </w:r>
    </w:p>
    <w:p w:rsidR="00E55DE7" w:rsidRDefault="00E55DE7">
      <w:pPr>
        <w:rPr>
          <w:rFonts w:ascii="Times New Roman" w:hAnsi="Times New Roman"/>
        </w:rPr>
      </w:pPr>
    </w:p>
    <w:p w:rsidR="007A2535" w:rsidRDefault="007A2535" w:rsidP="002831CB">
      <w:pPr>
        <w:pStyle w:val="Head1"/>
        <w:numPr>
          <w:ilvl w:val="0"/>
          <w:numId w:val="36"/>
        </w:numPr>
        <w:rPr>
          <w:rFonts w:ascii="Times New Roman" w:hAnsi="Times New Roman"/>
        </w:rPr>
      </w:pPr>
      <w:r>
        <w:rPr>
          <w:rFonts w:ascii="Times New Roman" w:hAnsi="Times New Roman"/>
        </w:rPr>
        <w:t>INCOME TAX ALLOCATION</w:t>
      </w:r>
    </w:p>
    <w:p w:rsidR="007A2535" w:rsidRDefault="007A2535" w:rsidP="007A2535">
      <w:pPr>
        <w:rPr>
          <w:rFonts w:ascii="Times New Roman" w:hAnsi="Times New Roman"/>
        </w:rPr>
      </w:pPr>
      <w:r w:rsidRPr="00720C74">
        <w:rPr>
          <w:rFonts w:ascii="Times New Roman" w:hAnsi="Times New Roman"/>
          <w:b/>
        </w:rPr>
        <w:t>Intraperiod tax allocation</w:t>
      </w:r>
      <w:r>
        <w:rPr>
          <w:rFonts w:ascii="Times New Roman" w:hAnsi="Times New Roman"/>
        </w:rPr>
        <w:t xml:space="preserve"> refers to the allocation of income tax expense within the financial statements of any reporting period. </w:t>
      </w:r>
      <w:r w:rsidR="0023630F">
        <w:rPr>
          <w:rFonts w:ascii="Times New Roman" w:hAnsi="Times New Roman"/>
        </w:rPr>
        <w:t>The total amount of income tax expense (or benefit) must be reported along with the components to which they relate:</w:t>
      </w:r>
    </w:p>
    <w:p w:rsidR="0023630F" w:rsidRDefault="0023630F" w:rsidP="0023630F">
      <w:pPr>
        <w:numPr>
          <w:ilvl w:val="0"/>
          <w:numId w:val="31"/>
        </w:numPr>
        <w:rPr>
          <w:rFonts w:ascii="Times New Roman" w:hAnsi="Times New Roman"/>
        </w:rPr>
      </w:pPr>
      <w:r>
        <w:rPr>
          <w:rFonts w:ascii="Times New Roman" w:hAnsi="Times New Roman"/>
        </w:rPr>
        <w:t>Continuing operations;</w:t>
      </w:r>
    </w:p>
    <w:p w:rsidR="0023630F" w:rsidRDefault="0023630F" w:rsidP="0023630F">
      <w:pPr>
        <w:numPr>
          <w:ilvl w:val="0"/>
          <w:numId w:val="31"/>
        </w:numPr>
        <w:rPr>
          <w:rFonts w:ascii="Times New Roman" w:hAnsi="Times New Roman"/>
        </w:rPr>
      </w:pPr>
      <w:r>
        <w:rPr>
          <w:rFonts w:ascii="Times New Roman" w:hAnsi="Times New Roman"/>
        </w:rPr>
        <w:t>Discontinued operations;</w:t>
      </w:r>
    </w:p>
    <w:p w:rsidR="0023630F" w:rsidRDefault="0023630F" w:rsidP="0023630F">
      <w:pPr>
        <w:numPr>
          <w:ilvl w:val="0"/>
          <w:numId w:val="31"/>
        </w:numPr>
        <w:rPr>
          <w:rFonts w:ascii="Times New Roman" w:hAnsi="Times New Roman"/>
        </w:rPr>
      </w:pPr>
      <w:r>
        <w:rPr>
          <w:rFonts w:ascii="Times New Roman" w:hAnsi="Times New Roman"/>
        </w:rPr>
        <w:t>Items of other comprehensive income; and</w:t>
      </w:r>
    </w:p>
    <w:p w:rsidR="0023630F" w:rsidRDefault="0023630F" w:rsidP="0023630F">
      <w:pPr>
        <w:numPr>
          <w:ilvl w:val="0"/>
          <w:numId w:val="31"/>
        </w:numPr>
        <w:rPr>
          <w:rFonts w:ascii="Times New Roman" w:hAnsi="Times New Roman"/>
        </w:rPr>
      </w:pPr>
      <w:r>
        <w:rPr>
          <w:rFonts w:ascii="Times New Roman" w:hAnsi="Times New Roman"/>
        </w:rPr>
        <w:t>Other components of shareholder’s equity.</w:t>
      </w:r>
    </w:p>
    <w:p w:rsidR="007A2535" w:rsidRDefault="007A2535" w:rsidP="007A2535">
      <w:pPr>
        <w:rPr>
          <w:rFonts w:ascii="Times New Roman" w:hAnsi="Times New Roman"/>
        </w:rPr>
      </w:pPr>
    </w:p>
    <w:p w:rsidR="00E55DE7" w:rsidRDefault="00E55DE7" w:rsidP="007A2535">
      <w:pPr>
        <w:rPr>
          <w:rFonts w:ascii="Times New Roman" w:hAnsi="Times New Roman"/>
        </w:rPr>
      </w:pPr>
      <w:r>
        <w:rPr>
          <w:rFonts w:ascii="Times New Roman" w:hAnsi="Times New Roman"/>
        </w:rPr>
        <w:t>Intraperiod tax allocation also applies to the cumulative effect of a retrospective change in accounting policy, shown in the statement of changes in equity.</w:t>
      </w:r>
    </w:p>
    <w:p w:rsidR="00E55DE7" w:rsidRDefault="00E55DE7" w:rsidP="007A2535">
      <w:pPr>
        <w:rPr>
          <w:rFonts w:ascii="Times New Roman" w:hAnsi="Times New Roman"/>
        </w:rPr>
      </w:pPr>
    </w:p>
    <w:p w:rsidR="007A2535" w:rsidRDefault="007A2535" w:rsidP="007A2535">
      <w:pPr>
        <w:rPr>
          <w:rFonts w:ascii="Times New Roman" w:hAnsi="Times New Roman"/>
        </w:rPr>
      </w:pPr>
      <w:r>
        <w:rPr>
          <w:rFonts w:ascii="Times New Roman" w:hAnsi="Times New Roman"/>
          <w:b/>
        </w:rPr>
        <w:t>Interperiod tax allocation</w:t>
      </w:r>
      <w:r>
        <w:rPr>
          <w:rFonts w:ascii="Times New Roman" w:hAnsi="Times New Roman"/>
        </w:rPr>
        <w:t xml:space="preserve"> is the allocation of income tax </w:t>
      </w:r>
      <w:r w:rsidR="00E55DE7">
        <w:rPr>
          <w:rFonts w:ascii="Times New Roman" w:hAnsi="Times New Roman"/>
        </w:rPr>
        <w:t>liability</w:t>
      </w:r>
      <w:r>
        <w:rPr>
          <w:rFonts w:ascii="Times New Roman" w:hAnsi="Times New Roman"/>
        </w:rPr>
        <w:t xml:space="preserve"> to different periods and will be discussed in Chapter 1</w:t>
      </w:r>
      <w:r w:rsidR="00E55DE7">
        <w:rPr>
          <w:rFonts w:ascii="Times New Roman" w:hAnsi="Times New Roman"/>
        </w:rPr>
        <w:t>6.</w:t>
      </w:r>
      <w:r>
        <w:rPr>
          <w:rFonts w:ascii="Times New Roman" w:hAnsi="Times New Roman"/>
        </w:rPr>
        <w:t xml:space="preserve">  You will see the results of it on most financial statements amount for “deferred taxes” or “future income taxes</w:t>
      </w:r>
      <w:r w:rsidR="00EE611A">
        <w:rPr>
          <w:rFonts w:ascii="Times New Roman" w:hAnsi="Times New Roman"/>
        </w:rPr>
        <w:t>”,</w:t>
      </w:r>
      <w:r>
        <w:rPr>
          <w:rFonts w:ascii="Times New Roman" w:hAnsi="Times New Roman"/>
        </w:rPr>
        <w:t xml:space="preserve"> which mean the same thing.</w:t>
      </w:r>
      <w:r w:rsidR="00E55DE7">
        <w:rPr>
          <w:rFonts w:ascii="Times New Roman" w:hAnsi="Times New Roman"/>
        </w:rPr>
        <w:t xml:space="preserve">  The income statement usually shows only one line for income tax expense (or benefit) but that amount is almost always composed of two components:</w:t>
      </w:r>
    </w:p>
    <w:p w:rsidR="00E55DE7" w:rsidRDefault="00E55DE7" w:rsidP="00E55DE7">
      <w:pPr>
        <w:numPr>
          <w:ilvl w:val="0"/>
          <w:numId w:val="32"/>
        </w:numPr>
        <w:rPr>
          <w:rFonts w:ascii="Times New Roman" w:hAnsi="Times New Roman"/>
        </w:rPr>
      </w:pPr>
      <w:r>
        <w:rPr>
          <w:rFonts w:ascii="Times New Roman" w:hAnsi="Times New Roman"/>
        </w:rPr>
        <w:t>Current income tax (or benefit); and</w:t>
      </w:r>
    </w:p>
    <w:p w:rsidR="00E55DE7" w:rsidRDefault="00E55DE7" w:rsidP="00E55DE7">
      <w:pPr>
        <w:numPr>
          <w:ilvl w:val="0"/>
          <w:numId w:val="32"/>
        </w:numPr>
        <w:rPr>
          <w:rFonts w:ascii="Times New Roman" w:hAnsi="Times New Roman"/>
        </w:rPr>
      </w:pPr>
      <w:r>
        <w:rPr>
          <w:rFonts w:ascii="Times New Roman" w:hAnsi="Times New Roman"/>
        </w:rPr>
        <w:t>Deferred (or future) income tax (or benefit)</w:t>
      </w:r>
    </w:p>
    <w:p w:rsidR="007A2535" w:rsidRDefault="00E55DE7" w:rsidP="007A2535">
      <w:pPr>
        <w:rPr>
          <w:rFonts w:ascii="Times New Roman" w:hAnsi="Times New Roman"/>
        </w:rPr>
      </w:pPr>
      <w:r>
        <w:rPr>
          <w:rFonts w:ascii="Times New Roman" w:hAnsi="Times New Roman"/>
        </w:rPr>
        <w:t>Usually the components are shown in a note rather than on the face of the SCI.</w:t>
      </w:r>
    </w:p>
    <w:p w:rsidR="00E55DE7" w:rsidRDefault="00E55DE7" w:rsidP="007A2535">
      <w:pPr>
        <w:rPr>
          <w:rFonts w:ascii="Times New Roman" w:hAnsi="Times New Roman"/>
        </w:rPr>
      </w:pPr>
    </w:p>
    <w:p w:rsidR="00E55DE7" w:rsidRDefault="00E55DE7" w:rsidP="007A2535">
      <w:pPr>
        <w:rPr>
          <w:rFonts w:ascii="Times New Roman" w:hAnsi="Times New Roman"/>
        </w:rPr>
      </w:pPr>
      <w:r>
        <w:rPr>
          <w:rFonts w:ascii="Times New Roman" w:hAnsi="Times New Roman"/>
        </w:rPr>
        <w:t>The current tax expense reflects only revenue and expenses actually reported on the company’s income tax return.  The deferred income taxes reflects the taxes that would have been paid if the company had reported exactly the same items of revenue and expense on the tax return as it reports on the income statement.</w:t>
      </w:r>
    </w:p>
    <w:p w:rsidR="007A2535" w:rsidRDefault="007A2535" w:rsidP="007A2535">
      <w:pPr>
        <w:rPr>
          <w:rFonts w:ascii="Times New Roman" w:hAnsi="Times New Roman"/>
        </w:rPr>
      </w:pPr>
    </w:p>
    <w:p w:rsidR="00A27627" w:rsidRDefault="00A27627" w:rsidP="00DB47BA">
      <w:pPr>
        <w:numPr>
          <w:ilvl w:val="0"/>
          <w:numId w:val="36"/>
        </w:numPr>
        <w:rPr>
          <w:rFonts w:ascii="Times New Roman" w:hAnsi="Times New Roman"/>
          <w:b/>
        </w:rPr>
      </w:pPr>
      <w:r w:rsidRPr="00A27627">
        <w:rPr>
          <w:rFonts w:ascii="Times New Roman" w:hAnsi="Times New Roman"/>
          <w:b/>
        </w:rPr>
        <w:t>ASSET DISPOSALS</w:t>
      </w:r>
      <w:r w:rsidR="008766BC">
        <w:rPr>
          <w:rFonts w:ascii="Times New Roman" w:hAnsi="Times New Roman"/>
          <w:b/>
        </w:rPr>
        <w:t xml:space="preserve">, DISCONTINUED OPERATIONS, </w:t>
      </w:r>
      <w:r w:rsidRPr="00A27627">
        <w:rPr>
          <w:rFonts w:ascii="Times New Roman" w:hAnsi="Times New Roman"/>
          <w:b/>
        </w:rPr>
        <w:t>AND RESTRUCTURING</w:t>
      </w:r>
    </w:p>
    <w:p w:rsidR="00B55A00" w:rsidRDefault="00A27627" w:rsidP="00B55A00">
      <w:pPr>
        <w:rPr>
          <w:rFonts w:ascii="Times New Roman" w:hAnsi="Times New Roman"/>
        </w:rPr>
      </w:pPr>
      <w:r>
        <w:rPr>
          <w:rFonts w:ascii="Times New Roman" w:hAnsi="Times New Roman"/>
        </w:rPr>
        <w:t xml:space="preserve">A company can decide to make significant </w:t>
      </w:r>
      <w:r w:rsidR="00B55A00">
        <w:rPr>
          <w:rFonts w:ascii="Times New Roman" w:hAnsi="Times New Roman"/>
        </w:rPr>
        <w:t xml:space="preserve">changes in the way it operations and can </w:t>
      </w:r>
      <w:r w:rsidR="00EE611A">
        <w:rPr>
          <w:rFonts w:ascii="Times New Roman" w:hAnsi="Times New Roman"/>
        </w:rPr>
        <w:t>shut down</w:t>
      </w:r>
      <w:r w:rsidR="00B55A00">
        <w:rPr>
          <w:rFonts w:ascii="Times New Roman" w:hAnsi="Times New Roman"/>
        </w:rPr>
        <w:t xml:space="preserve"> </w:t>
      </w:r>
      <w:r w:rsidR="008766BC">
        <w:rPr>
          <w:rFonts w:ascii="Times New Roman" w:hAnsi="Times New Roman"/>
        </w:rPr>
        <w:t xml:space="preserve"> or abandon </w:t>
      </w:r>
      <w:r w:rsidR="00B55A00">
        <w:rPr>
          <w:rFonts w:ascii="Times New Roman" w:hAnsi="Times New Roman"/>
        </w:rPr>
        <w:t>parts of its operations, reorganize  or sell a major business line as an operating unit to the highest bidder (</w:t>
      </w:r>
      <w:r w:rsidR="00B55A00" w:rsidRPr="00B55A00">
        <w:rPr>
          <w:rFonts w:ascii="Times New Roman" w:hAnsi="Times New Roman"/>
          <w:i/>
        </w:rPr>
        <w:t>a discontinued operation</w:t>
      </w:r>
      <w:r w:rsidR="00B55A00">
        <w:rPr>
          <w:rFonts w:ascii="Times New Roman" w:hAnsi="Times New Roman"/>
        </w:rPr>
        <w:t>).</w:t>
      </w:r>
    </w:p>
    <w:p w:rsidR="00B55A00" w:rsidRDefault="00B55A00" w:rsidP="00B55A00">
      <w:pPr>
        <w:rPr>
          <w:rFonts w:ascii="Times New Roman" w:hAnsi="Times New Roman"/>
        </w:rPr>
      </w:pPr>
    </w:p>
    <w:p w:rsidR="00B55A00" w:rsidRPr="000B71B2" w:rsidRDefault="00B55A00" w:rsidP="00B55A00">
      <w:pPr>
        <w:rPr>
          <w:rFonts w:ascii="Times New Roman" w:hAnsi="Times New Roman"/>
          <w:b/>
        </w:rPr>
      </w:pPr>
      <w:r w:rsidRPr="000B71B2">
        <w:rPr>
          <w:rFonts w:ascii="Times New Roman" w:hAnsi="Times New Roman"/>
          <w:b/>
        </w:rPr>
        <w:lastRenderedPageBreak/>
        <w:t>Asset Disposals</w:t>
      </w:r>
    </w:p>
    <w:p w:rsidR="00B55A00" w:rsidRDefault="00B55A00" w:rsidP="00B55A00">
      <w:pPr>
        <w:rPr>
          <w:rFonts w:ascii="Times New Roman" w:hAnsi="Times New Roman"/>
        </w:rPr>
      </w:pPr>
      <w:r>
        <w:rPr>
          <w:rFonts w:ascii="Times New Roman" w:hAnsi="Times New Roman"/>
        </w:rPr>
        <w:t xml:space="preserve">For accounting purposes, two different scenarios exist for asset </w:t>
      </w:r>
      <w:r w:rsidR="00483320">
        <w:rPr>
          <w:rFonts w:ascii="Times New Roman" w:hAnsi="Times New Roman"/>
        </w:rPr>
        <w:t>disposals</w:t>
      </w:r>
      <w:r>
        <w:rPr>
          <w:rFonts w:ascii="Times New Roman" w:hAnsi="Times New Roman"/>
        </w:rPr>
        <w:t>:</w:t>
      </w:r>
    </w:p>
    <w:p w:rsidR="00B55A00" w:rsidRDefault="00B55A00" w:rsidP="00B55A00">
      <w:pPr>
        <w:numPr>
          <w:ilvl w:val="0"/>
          <w:numId w:val="16"/>
        </w:numPr>
        <w:rPr>
          <w:rFonts w:ascii="Times New Roman" w:hAnsi="Times New Roman"/>
        </w:rPr>
      </w:pPr>
      <w:r>
        <w:rPr>
          <w:rFonts w:ascii="Times New Roman" w:hAnsi="Times New Roman"/>
        </w:rPr>
        <w:t>Disposing of individual non-current assets or</w:t>
      </w:r>
    </w:p>
    <w:p w:rsidR="00B55A00" w:rsidRDefault="00B55A00" w:rsidP="00B55A00">
      <w:pPr>
        <w:numPr>
          <w:ilvl w:val="0"/>
          <w:numId w:val="16"/>
        </w:numPr>
        <w:rPr>
          <w:rFonts w:ascii="Times New Roman" w:hAnsi="Times New Roman"/>
        </w:rPr>
      </w:pPr>
      <w:r>
        <w:rPr>
          <w:rFonts w:ascii="Times New Roman" w:hAnsi="Times New Roman"/>
        </w:rPr>
        <w:t>Disposing of several assets as a group</w:t>
      </w:r>
    </w:p>
    <w:p w:rsidR="006838A4" w:rsidRDefault="006838A4" w:rsidP="00B55A00">
      <w:pPr>
        <w:rPr>
          <w:rFonts w:ascii="Times New Roman" w:hAnsi="Times New Roman"/>
        </w:rPr>
      </w:pPr>
    </w:p>
    <w:p w:rsidR="00B55A00" w:rsidRDefault="00B55A00" w:rsidP="00B55A00">
      <w:pPr>
        <w:rPr>
          <w:rFonts w:ascii="Times New Roman" w:hAnsi="Times New Roman"/>
        </w:rPr>
      </w:pPr>
      <w:r>
        <w:rPr>
          <w:rFonts w:ascii="Times New Roman" w:hAnsi="Times New Roman"/>
        </w:rPr>
        <w:t>Under IFRS, assets put up for sale are reclassified from non-current to current on the statement of financial position.  This treatment is similar to ASPE.</w:t>
      </w:r>
    </w:p>
    <w:p w:rsidR="00B55A00" w:rsidRDefault="00B55A00" w:rsidP="00B55A00">
      <w:pPr>
        <w:rPr>
          <w:rFonts w:ascii="Times New Roman" w:hAnsi="Times New Roman"/>
        </w:rPr>
      </w:pPr>
    </w:p>
    <w:p w:rsidR="000B71B2" w:rsidRPr="000B71B2" w:rsidRDefault="00B55A00" w:rsidP="00B55A00">
      <w:pPr>
        <w:rPr>
          <w:rFonts w:ascii="Times New Roman" w:hAnsi="Times New Roman"/>
          <w:b/>
        </w:rPr>
      </w:pPr>
      <w:r w:rsidRPr="000B71B2">
        <w:rPr>
          <w:rFonts w:ascii="Times New Roman" w:hAnsi="Times New Roman"/>
          <w:b/>
        </w:rPr>
        <w:t xml:space="preserve">Abandonment  </w:t>
      </w:r>
    </w:p>
    <w:p w:rsidR="00B55A00" w:rsidRDefault="00B55A00" w:rsidP="00B55A00">
      <w:pPr>
        <w:rPr>
          <w:rFonts w:ascii="Times New Roman" w:hAnsi="Times New Roman"/>
        </w:rPr>
      </w:pPr>
      <w:r>
        <w:rPr>
          <w:rFonts w:ascii="Times New Roman" w:hAnsi="Times New Roman"/>
        </w:rPr>
        <w:t xml:space="preserve">An abandoned asset is one a company continues to own but has permanently stopped </w:t>
      </w:r>
      <w:r w:rsidR="00464F49">
        <w:rPr>
          <w:rFonts w:ascii="Times New Roman" w:hAnsi="Times New Roman"/>
        </w:rPr>
        <w:t xml:space="preserve">using.  An abandoned asset should </w:t>
      </w:r>
      <w:r w:rsidR="00464F49" w:rsidRPr="000B71B2">
        <w:rPr>
          <w:rFonts w:ascii="Times New Roman" w:hAnsi="Times New Roman"/>
          <w:i/>
        </w:rPr>
        <w:t>not</w:t>
      </w:r>
      <w:r w:rsidR="00464F49">
        <w:rPr>
          <w:rFonts w:ascii="Times New Roman" w:hAnsi="Times New Roman"/>
        </w:rPr>
        <w:t xml:space="preserve"> be reclassified as current because there is no plan to sell it.  The </w:t>
      </w:r>
      <w:r w:rsidR="000B71B2">
        <w:rPr>
          <w:rFonts w:ascii="Times New Roman" w:hAnsi="Times New Roman"/>
        </w:rPr>
        <w:t>depreciation</w:t>
      </w:r>
      <w:r w:rsidR="00464F49">
        <w:rPr>
          <w:rFonts w:ascii="Times New Roman" w:hAnsi="Times New Roman"/>
        </w:rPr>
        <w:t xml:space="preserve"> stops, the asset is written down to its </w:t>
      </w:r>
      <w:r w:rsidR="00464F49" w:rsidRPr="000B71B2">
        <w:rPr>
          <w:rFonts w:ascii="Times New Roman" w:hAnsi="Times New Roman"/>
          <w:b/>
          <w:i/>
        </w:rPr>
        <w:t xml:space="preserve">recoverable </w:t>
      </w:r>
      <w:r w:rsidR="000B71B2" w:rsidRPr="000B71B2">
        <w:rPr>
          <w:rFonts w:ascii="Times New Roman" w:hAnsi="Times New Roman"/>
          <w:b/>
          <w:i/>
        </w:rPr>
        <w:t>amount</w:t>
      </w:r>
      <w:r w:rsidR="00464F49">
        <w:rPr>
          <w:rFonts w:ascii="Times New Roman" w:hAnsi="Times New Roman"/>
        </w:rPr>
        <w:t xml:space="preserve">, </w:t>
      </w:r>
      <w:r w:rsidR="000B71B2">
        <w:rPr>
          <w:rFonts w:ascii="Times New Roman" w:hAnsi="Times New Roman"/>
        </w:rPr>
        <w:t xml:space="preserve">which is the </w:t>
      </w:r>
      <w:r w:rsidR="000B71B2" w:rsidRPr="000B71B2">
        <w:rPr>
          <w:rFonts w:ascii="Times New Roman" w:hAnsi="Times New Roman"/>
          <w:i/>
        </w:rPr>
        <w:t xml:space="preserve">higher of the value in use and the </w:t>
      </w:r>
      <w:r w:rsidR="00464F49" w:rsidRPr="000B71B2">
        <w:rPr>
          <w:rFonts w:ascii="Times New Roman" w:hAnsi="Times New Roman"/>
          <w:i/>
        </w:rPr>
        <w:t>fair value less costs to sell.</w:t>
      </w:r>
      <w:r w:rsidR="00464F49">
        <w:rPr>
          <w:rFonts w:ascii="Times New Roman" w:hAnsi="Times New Roman"/>
        </w:rPr>
        <w:t xml:space="preserve">  The asset is still subject to impairment tests</w:t>
      </w:r>
      <w:r w:rsidR="000B71B2">
        <w:rPr>
          <w:rFonts w:ascii="Times New Roman" w:hAnsi="Times New Roman"/>
        </w:rPr>
        <w:t xml:space="preserve"> as long as the company owns it</w:t>
      </w:r>
      <w:r w:rsidR="00464F49">
        <w:rPr>
          <w:rFonts w:ascii="Times New Roman" w:hAnsi="Times New Roman"/>
        </w:rPr>
        <w:t>.  If the asset’s value has increased, the asset should be written up, but not to more that its original carrying value at the time of abandonment.</w:t>
      </w:r>
    </w:p>
    <w:p w:rsidR="00464F49" w:rsidRDefault="00464F49" w:rsidP="00B55A00">
      <w:pPr>
        <w:rPr>
          <w:rFonts w:ascii="Times New Roman" w:hAnsi="Times New Roman"/>
        </w:rPr>
      </w:pPr>
    </w:p>
    <w:p w:rsidR="00464F49" w:rsidRDefault="00464F49" w:rsidP="00B55A00">
      <w:pPr>
        <w:rPr>
          <w:rFonts w:ascii="Times New Roman" w:hAnsi="Times New Roman"/>
        </w:rPr>
      </w:pPr>
      <w:r>
        <w:rPr>
          <w:rFonts w:ascii="Times New Roman" w:hAnsi="Times New Roman"/>
        </w:rPr>
        <w:t xml:space="preserve">An </w:t>
      </w:r>
      <w:r w:rsidRPr="000B71B2">
        <w:rPr>
          <w:rFonts w:ascii="Times New Roman" w:hAnsi="Times New Roman"/>
          <w:i/>
        </w:rPr>
        <w:t>abandoned asset</w:t>
      </w:r>
      <w:r>
        <w:rPr>
          <w:rFonts w:ascii="Times New Roman" w:hAnsi="Times New Roman"/>
        </w:rPr>
        <w:t xml:space="preserve"> is not the same as an </w:t>
      </w:r>
      <w:r w:rsidRPr="000B71B2">
        <w:rPr>
          <w:rFonts w:ascii="Times New Roman" w:hAnsi="Times New Roman"/>
          <w:b/>
        </w:rPr>
        <w:t>idle asset</w:t>
      </w:r>
      <w:r>
        <w:rPr>
          <w:rFonts w:ascii="Times New Roman" w:hAnsi="Times New Roman"/>
        </w:rPr>
        <w:t xml:space="preserve"> which is temporarily not in use.  Idle assets continue to depreciate and are accounted for as productive assets, even though they currently are not producing.</w:t>
      </w:r>
    </w:p>
    <w:p w:rsidR="000B71B2" w:rsidRDefault="000B71B2" w:rsidP="00B55A00">
      <w:pPr>
        <w:rPr>
          <w:rFonts w:ascii="Times New Roman" w:hAnsi="Times New Roman"/>
        </w:rPr>
      </w:pPr>
    </w:p>
    <w:p w:rsidR="00464F49" w:rsidRPr="00782B21" w:rsidRDefault="00464F49" w:rsidP="00B55A00">
      <w:pPr>
        <w:rPr>
          <w:rFonts w:ascii="Times New Roman" w:hAnsi="Times New Roman"/>
          <w:b/>
        </w:rPr>
      </w:pPr>
      <w:r w:rsidRPr="00782B21">
        <w:rPr>
          <w:rFonts w:ascii="Times New Roman" w:hAnsi="Times New Roman"/>
          <w:b/>
        </w:rPr>
        <w:t>Selling Individual assets</w:t>
      </w:r>
    </w:p>
    <w:p w:rsidR="00464F49" w:rsidRPr="00782B21" w:rsidRDefault="00464F49" w:rsidP="00B55A00">
      <w:pPr>
        <w:rPr>
          <w:rFonts w:ascii="Times New Roman" w:hAnsi="Times New Roman"/>
          <w:b/>
        </w:rPr>
      </w:pPr>
      <w:r w:rsidRPr="00782B21">
        <w:rPr>
          <w:rFonts w:ascii="Times New Roman" w:hAnsi="Times New Roman"/>
          <w:b/>
        </w:rPr>
        <w:t>Current asset</w:t>
      </w:r>
    </w:p>
    <w:p w:rsidR="00464F49" w:rsidRDefault="00885306" w:rsidP="00B55A00">
      <w:pPr>
        <w:rPr>
          <w:rFonts w:ascii="Times New Roman" w:hAnsi="Times New Roman"/>
        </w:rPr>
      </w:pPr>
      <w:r>
        <w:rPr>
          <w:rFonts w:ascii="Times New Roman" w:hAnsi="Times New Roman"/>
        </w:rPr>
        <w:t>There is no</w:t>
      </w:r>
      <w:r w:rsidR="00464F49">
        <w:rPr>
          <w:rFonts w:ascii="Times New Roman" w:hAnsi="Times New Roman"/>
        </w:rPr>
        <w:t xml:space="preserve"> special treatment</w:t>
      </w:r>
      <w:r>
        <w:rPr>
          <w:rFonts w:ascii="Times New Roman" w:hAnsi="Times New Roman"/>
        </w:rPr>
        <w:t xml:space="preserve"> necessary for a current asset sale as long as the </w:t>
      </w:r>
      <w:r w:rsidR="00464F49">
        <w:rPr>
          <w:rFonts w:ascii="Times New Roman" w:hAnsi="Times New Roman"/>
        </w:rPr>
        <w:t>carrying value does not exceed recoverable value.  If a writedown is necessary, loss is reported as part of operating expenses.</w:t>
      </w:r>
    </w:p>
    <w:p w:rsidR="00782B21" w:rsidRDefault="00782B21" w:rsidP="00B55A00">
      <w:pPr>
        <w:rPr>
          <w:rFonts w:ascii="Times New Roman" w:hAnsi="Times New Roman"/>
        </w:rPr>
      </w:pPr>
    </w:p>
    <w:p w:rsidR="00EE611A" w:rsidRDefault="00782B21" w:rsidP="00B55A00">
      <w:pPr>
        <w:rPr>
          <w:rFonts w:ascii="Times New Roman" w:hAnsi="Times New Roman"/>
        </w:rPr>
      </w:pPr>
      <w:r w:rsidRPr="000B71B2">
        <w:rPr>
          <w:rFonts w:ascii="Times New Roman" w:hAnsi="Times New Roman"/>
          <w:b/>
        </w:rPr>
        <w:t>Non-current asset</w:t>
      </w:r>
      <w:r>
        <w:rPr>
          <w:rFonts w:ascii="Times New Roman" w:hAnsi="Times New Roman"/>
        </w:rPr>
        <w:t xml:space="preserve"> </w:t>
      </w:r>
    </w:p>
    <w:p w:rsidR="00782B21" w:rsidRDefault="00782B21" w:rsidP="00B55A00">
      <w:pPr>
        <w:rPr>
          <w:rFonts w:ascii="Times New Roman" w:hAnsi="Times New Roman"/>
        </w:rPr>
      </w:pPr>
      <w:r>
        <w:rPr>
          <w:rFonts w:ascii="Times New Roman" w:hAnsi="Times New Roman"/>
        </w:rPr>
        <w:t xml:space="preserve">If </w:t>
      </w:r>
      <w:r w:rsidR="000B71B2">
        <w:rPr>
          <w:rFonts w:ascii="Times New Roman" w:hAnsi="Times New Roman"/>
        </w:rPr>
        <w:t xml:space="preserve">the asset is </w:t>
      </w:r>
      <w:r>
        <w:rPr>
          <w:rFonts w:ascii="Times New Roman" w:hAnsi="Times New Roman"/>
        </w:rPr>
        <w:t xml:space="preserve">put up for sale, it is subjected to an impairment test and written down to recoverable value, if lower than carrying value.  It is classified as </w:t>
      </w:r>
      <w:r w:rsidRPr="0010746C">
        <w:rPr>
          <w:rFonts w:ascii="Times New Roman" w:hAnsi="Times New Roman"/>
          <w:b/>
        </w:rPr>
        <w:t>held-for-sale</w:t>
      </w:r>
      <w:r>
        <w:rPr>
          <w:rFonts w:ascii="Times New Roman" w:hAnsi="Times New Roman"/>
        </w:rPr>
        <w:t xml:space="preserve"> and reclassified as a current asset</w:t>
      </w:r>
      <w:r w:rsidR="0010746C">
        <w:rPr>
          <w:rFonts w:ascii="Times New Roman" w:hAnsi="Times New Roman"/>
        </w:rPr>
        <w:t xml:space="preserve"> in SFP</w:t>
      </w:r>
      <w:r>
        <w:rPr>
          <w:rFonts w:ascii="Times New Roman" w:hAnsi="Times New Roman"/>
        </w:rPr>
        <w:t xml:space="preserve">  No further depreciation is taken.</w:t>
      </w:r>
    </w:p>
    <w:p w:rsidR="00782B21" w:rsidRDefault="00782B21" w:rsidP="00B55A00">
      <w:pPr>
        <w:rPr>
          <w:rFonts w:ascii="Times New Roman" w:hAnsi="Times New Roman"/>
        </w:rPr>
      </w:pPr>
    </w:p>
    <w:p w:rsidR="00782B21" w:rsidRDefault="00782B21" w:rsidP="00B55A00">
      <w:pPr>
        <w:rPr>
          <w:rFonts w:ascii="Times New Roman" w:hAnsi="Times New Roman"/>
        </w:rPr>
      </w:pPr>
      <w:r>
        <w:rPr>
          <w:rFonts w:ascii="Times New Roman" w:hAnsi="Times New Roman"/>
        </w:rPr>
        <w:t>Conditions for held-for-sale classification for a non-current asset:</w:t>
      </w:r>
    </w:p>
    <w:p w:rsidR="00782B21" w:rsidRDefault="00782B21" w:rsidP="00782B21">
      <w:pPr>
        <w:numPr>
          <w:ilvl w:val="0"/>
          <w:numId w:val="17"/>
        </w:numPr>
        <w:rPr>
          <w:rFonts w:ascii="Times New Roman" w:hAnsi="Times New Roman"/>
        </w:rPr>
      </w:pPr>
      <w:r>
        <w:rPr>
          <w:rFonts w:ascii="Times New Roman" w:hAnsi="Times New Roman"/>
        </w:rPr>
        <w:t xml:space="preserve"> Asset is </w:t>
      </w:r>
      <w:r w:rsidRPr="00782B21">
        <w:rPr>
          <w:rFonts w:ascii="Times New Roman" w:hAnsi="Times New Roman"/>
          <w:b/>
        </w:rPr>
        <w:t>available for immediate sale</w:t>
      </w:r>
      <w:r>
        <w:rPr>
          <w:rFonts w:ascii="Times New Roman" w:hAnsi="Times New Roman"/>
        </w:rPr>
        <w:t xml:space="preserve"> in its present condition</w:t>
      </w:r>
    </w:p>
    <w:p w:rsidR="00782B21" w:rsidRPr="00782B21" w:rsidRDefault="00782B21" w:rsidP="00782B21">
      <w:pPr>
        <w:numPr>
          <w:ilvl w:val="0"/>
          <w:numId w:val="17"/>
        </w:numPr>
        <w:rPr>
          <w:rFonts w:ascii="Times New Roman" w:hAnsi="Times New Roman"/>
          <w:b/>
        </w:rPr>
      </w:pPr>
      <w:r>
        <w:rPr>
          <w:rFonts w:ascii="Times New Roman" w:hAnsi="Times New Roman"/>
        </w:rPr>
        <w:t xml:space="preserve">Asset’s sale is </w:t>
      </w:r>
      <w:r w:rsidRPr="00782B21">
        <w:rPr>
          <w:rFonts w:ascii="Times New Roman" w:hAnsi="Times New Roman"/>
          <w:b/>
        </w:rPr>
        <w:t>highly probable</w:t>
      </w:r>
    </w:p>
    <w:p w:rsidR="00885306" w:rsidRDefault="00885306" w:rsidP="00782B21">
      <w:pPr>
        <w:rPr>
          <w:rFonts w:ascii="Times New Roman" w:hAnsi="Times New Roman"/>
        </w:rPr>
      </w:pPr>
    </w:p>
    <w:p w:rsidR="00782B21" w:rsidRDefault="00782B21" w:rsidP="00782B21">
      <w:pPr>
        <w:rPr>
          <w:rFonts w:ascii="Times New Roman" w:hAnsi="Times New Roman"/>
        </w:rPr>
      </w:pPr>
      <w:r>
        <w:rPr>
          <w:rFonts w:ascii="Times New Roman" w:hAnsi="Times New Roman"/>
        </w:rPr>
        <w:t xml:space="preserve">For the sale to be </w:t>
      </w:r>
      <w:r w:rsidRPr="00782B21">
        <w:rPr>
          <w:rFonts w:ascii="Times New Roman" w:hAnsi="Times New Roman"/>
          <w:b/>
        </w:rPr>
        <w:t>highly probable</w:t>
      </w:r>
      <w:r>
        <w:rPr>
          <w:rFonts w:ascii="Times New Roman" w:hAnsi="Times New Roman"/>
        </w:rPr>
        <w:t>, five requirements must be satisfied:</w:t>
      </w:r>
    </w:p>
    <w:p w:rsidR="00782B21" w:rsidRDefault="00782B21" w:rsidP="00782B21">
      <w:pPr>
        <w:numPr>
          <w:ilvl w:val="0"/>
          <w:numId w:val="19"/>
        </w:numPr>
        <w:rPr>
          <w:rFonts w:ascii="Times New Roman" w:hAnsi="Times New Roman"/>
        </w:rPr>
      </w:pPr>
      <w:r>
        <w:rPr>
          <w:rFonts w:ascii="Times New Roman" w:hAnsi="Times New Roman"/>
        </w:rPr>
        <w:t xml:space="preserve"> Price is reasonable.</w:t>
      </w:r>
    </w:p>
    <w:p w:rsidR="00782B21" w:rsidRDefault="00782B21" w:rsidP="00782B21">
      <w:pPr>
        <w:numPr>
          <w:ilvl w:val="0"/>
          <w:numId w:val="19"/>
        </w:numPr>
        <w:rPr>
          <w:rFonts w:ascii="Times New Roman" w:hAnsi="Times New Roman"/>
        </w:rPr>
      </w:pPr>
      <w:r>
        <w:rPr>
          <w:rFonts w:ascii="Times New Roman" w:hAnsi="Times New Roman"/>
        </w:rPr>
        <w:t xml:space="preserve">An active program to find a buyer </w:t>
      </w:r>
      <w:r w:rsidR="00E35AC8">
        <w:rPr>
          <w:rFonts w:ascii="Times New Roman" w:hAnsi="Times New Roman"/>
        </w:rPr>
        <w:t>must have been started</w:t>
      </w:r>
    </w:p>
    <w:p w:rsidR="00782B21" w:rsidRDefault="00782B21" w:rsidP="00782B21">
      <w:pPr>
        <w:numPr>
          <w:ilvl w:val="0"/>
          <w:numId w:val="19"/>
        </w:numPr>
        <w:rPr>
          <w:rFonts w:ascii="Times New Roman" w:hAnsi="Times New Roman"/>
        </w:rPr>
      </w:pPr>
      <w:r>
        <w:rPr>
          <w:rFonts w:ascii="Times New Roman" w:hAnsi="Times New Roman"/>
        </w:rPr>
        <w:t>Management is committed to selling the asset</w:t>
      </w:r>
    </w:p>
    <w:p w:rsidR="00782B21" w:rsidRDefault="00782B21" w:rsidP="00782B21">
      <w:pPr>
        <w:numPr>
          <w:ilvl w:val="0"/>
          <w:numId w:val="19"/>
        </w:numPr>
        <w:rPr>
          <w:rFonts w:ascii="Times New Roman" w:hAnsi="Times New Roman"/>
        </w:rPr>
      </w:pPr>
      <w:r>
        <w:rPr>
          <w:rFonts w:ascii="Times New Roman" w:hAnsi="Times New Roman"/>
        </w:rPr>
        <w:t>It is unlikely that the offer to sell will be withdrawn or that the terms of the offer will be changed significantly</w:t>
      </w:r>
    </w:p>
    <w:p w:rsidR="00782B21" w:rsidRDefault="00782B21" w:rsidP="00782B21">
      <w:pPr>
        <w:numPr>
          <w:ilvl w:val="0"/>
          <w:numId w:val="19"/>
        </w:numPr>
        <w:rPr>
          <w:rFonts w:ascii="Times New Roman" w:hAnsi="Times New Roman"/>
        </w:rPr>
      </w:pPr>
      <w:r>
        <w:rPr>
          <w:rFonts w:ascii="Times New Roman" w:hAnsi="Times New Roman"/>
        </w:rPr>
        <w:t>The sale is expected within one year of the asset’s being reclassified as “held-for-sale”.</w:t>
      </w:r>
    </w:p>
    <w:p w:rsidR="00782B21" w:rsidRDefault="00782B21" w:rsidP="00782B21">
      <w:pPr>
        <w:ind w:left="720"/>
        <w:rPr>
          <w:rFonts w:ascii="Times New Roman" w:hAnsi="Times New Roman"/>
        </w:rPr>
      </w:pPr>
    </w:p>
    <w:p w:rsidR="002F41CF" w:rsidRDefault="002F41CF">
      <w:pPr>
        <w:spacing w:line="240" w:lineRule="auto"/>
        <w:rPr>
          <w:rFonts w:ascii="Times New Roman" w:hAnsi="Times New Roman"/>
          <w:b/>
        </w:rPr>
      </w:pPr>
      <w:r>
        <w:rPr>
          <w:rFonts w:ascii="Times New Roman" w:hAnsi="Times New Roman"/>
          <w:b/>
        </w:rPr>
        <w:br w:type="page"/>
      </w:r>
    </w:p>
    <w:p w:rsidR="00782B21" w:rsidRPr="00782B21" w:rsidRDefault="00782B21" w:rsidP="00782B21">
      <w:pPr>
        <w:rPr>
          <w:rFonts w:ascii="Times New Roman" w:hAnsi="Times New Roman"/>
          <w:b/>
        </w:rPr>
      </w:pPr>
      <w:r w:rsidRPr="00782B21">
        <w:rPr>
          <w:rFonts w:ascii="Times New Roman" w:hAnsi="Times New Roman"/>
          <w:b/>
        </w:rPr>
        <w:lastRenderedPageBreak/>
        <w:t>The held-for-sale two-step:</w:t>
      </w:r>
    </w:p>
    <w:p w:rsidR="00782B21" w:rsidRDefault="00782B21" w:rsidP="00782B21">
      <w:pPr>
        <w:numPr>
          <w:ilvl w:val="0"/>
          <w:numId w:val="18"/>
        </w:numPr>
        <w:rPr>
          <w:rFonts w:ascii="Times New Roman" w:hAnsi="Times New Roman"/>
        </w:rPr>
      </w:pPr>
      <w:r>
        <w:rPr>
          <w:rFonts w:ascii="Times New Roman" w:hAnsi="Times New Roman"/>
        </w:rPr>
        <w:t xml:space="preserve"> A non-current asset that is intended for sale must first be “remeasured” to the lower of its carrying value and its fair value less costs to sell.</w:t>
      </w:r>
    </w:p>
    <w:p w:rsidR="00782B21" w:rsidRDefault="00782B21" w:rsidP="00782B21">
      <w:pPr>
        <w:numPr>
          <w:ilvl w:val="0"/>
          <w:numId w:val="18"/>
        </w:numPr>
        <w:rPr>
          <w:rFonts w:ascii="Times New Roman" w:hAnsi="Times New Roman"/>
        </w:rPr>
      </w:pPr>
      <w:r>
        <w:rPr>
          <w:rFonts w:ascii="Times New Roman" w:hAnsi="Times New Roman"/>
        </w:rPr>
        <w:t>After remeasurement, the asset can be declared to be “held-for-sale” and classified as a current asset, provided the five conditions listed above are met.</w:t>
      </w:r>
    </w:p>
    <w:p w:rsidR="00782B21" w:rsidRDefault="00782B21" w:rsidP="00782B21">
      <w:pPr>
        <w:ind w:left="360"/>
        <w:rPr>
          <w:rFonts w:ascii="Times New Roman" w:hAnsi="Times New Roman"/>
        </w:rPr>
      </w:pPr>
      <w:r>
        <w:rPr>
          <w:rFonts w:ascii="Times New Roman" w:hAnsi="Times New Roman"/>
        </w:rPr>
        <w:t>If written do</w:t>
      </w:r>
      <w:r w:rsidR="00093FFE">
        <w:rPr>
          <w:rFonts w:ascii="Times New Roman" w:hAnsi="Times New Roman"/>
        </w:rPr>
        <w:t>wn</w:t>
      </w:r>
      <w:r>
        <w:rPr>
          <w:rFonts w:ascii="Times New Roman" w:hAnsi="Times New Roman"/>
        </w:rPr>
        <w:t>, loss is p</w:t>
      </w:r>
      <w:r w:rsidR="00517F3B">
        <w:rPr>
          <w:rFonts w:ascii="Times New Roman" w:hAnsi="Times New Roman"/>
        </w:rPr>
        <w:t>art of that period’s net income</w:t>
      </w:r>
      <w:r>
        <w:rPr>
          <w:rFonts w:ascii="Times New Roman" w:hAnsi="Times New Roman"/>
        </w:rPr>
        <w:t>.  If it increases later, the increase in value may be re</w:t>
      </w:r>
      <w:r w:rsidR="00093FFE">
        <w:rPr>
          <w:rFonts w:ascii="Times New Roman" w:hAnsi="Times New Roman"/>
        </w:rPr>
        <w:t xml:space="preserve">ported in profit and loss as a </w:t>
      </w:r>
      <w:r>
        <w:rPr>
          <w:rFonts w:ascii="Times New Roman" w:hAnsi="Times New Roman"/>
        </w:rPr>
        <w:t>gain, but w</w:t>
      </w:r>
      <w:r w:rsidR="00093FFE">
        <w:rPr>
          <w:rFonts w:ascii="Times New Roman" w:hAnsi="Times New Roman"/>
        </w:rPr>
        <w:t>ri</w:t>
      </w:r>
      <w:r>
        <w:rPr>
          <w:rFonts w:ascii="Times New Roman" w:hAnsi="Times New Roman"/>
        </w:rPr>
        <w:t xml:space="preserve">ting up the asset is an </w:t>
      </w:r>
      <w:r w:rsidRPr="00093FFE">
        <w:rPr>
          <w:rFonts w:ascii="Times New Roman" w:hAnsi="Times New Roman"/>
          <w:i/>
        </w:rPr>
        <w:t>option</w:t>
      </w:r>
      <w:r>
        <w:rPr>
          <w:rFonts w:ascii="Times New Roman" w:hAnsi="Times New Roman"/>
        </w:rPr>
        <w:t xml:space="preserve">, not </w:t>
      </w:r>
      <w:r w:rsidRPr="00093FFE">
        <w:rPr>
          <w:rFonts w:ascii="Times New Roman" w:hAnsi="Times New Roman"/>
          <w:i/>
        </w:rPr>
        <w:t>a requirement</w:t>
      </w:r>
      <w:r>
        <w:rPr>
          <w:rFonts w:ascii="Times New Roman" w:hAnsi="Times New Roman"/>
        </w:rPr>
        <w:t xml:space="preserve"> under IFRS</w:t>
      </w:r>
      <w:r w:rsidR="00093FFE">
        <w:rPr>
          <w:rFonts w:ascii="Times New Roman" w:hAnsi="Times New Roman"/>
        </w:rPr>
        <w:t>.</w:t>
      </w:r>
    </w:p>
    <w:p w:rsidR="00093FFE" w:rsidRDefault="00093FFE" w:rsidP="00782B21">
      <w:pPr>
        <w:ind w:left="360"/>
        <w:rPr>
          <w:rFonts w:ascii="Times New Roman" w:hAnsi="Times New Roman"/>
        </w:rPr>
      </w:pPr>
    </w:p>
    <w:p w:rsidR="00093FFE" w:rsidRDefault="00093FFE" w:rsidP="00782B21">
      <w:pPr>
        <w:ind w:left="360"/>
        <w:rPr>
          <w:rFonts w:ascii="Times New Roman" w:hAnsi="Times New Roman"/>
        </w:rPr>
      </w:pPr>
      <w:r w:rsidRPr="00CC7307">
        <w:rPr>
          <w:rFonts w:ascii="Times New Roman" w:hAnsi="Times New Roman"/>
          <w:b/>
        </w:rPr>
        <w:t>Declassification as “held-for-sale”</w:t>
      </w:r>
      <w:r>
        <w:rPr>
          <w:rFonts w:ascii="Times New Roman" w:hAnsi="Times New Roman"/>
        </w:rPr>
        <w:t xml:space="preserve"> occurs if the asset no longer satisfies the criteria.  It is restored to its original classification at the lower of:</w:t>
      </w:r>
    </w:p>
    <w:p w:rsidR="00093FFE" w:rsidRDefault="00093FFE" w:rsidP="00093FFE">
      <w:pPr>
        <w:numPr>
          <w:ilvl w:val="0"/>
          <w:numId w:val="20"/>
        </w:numPr>
        <w:rPr>
          <w:rFonts w:ascii="Times New Roman" w:hAnsi="Times New Roman"/>
        </w:rPr>
      </w:pPr>
      <w:r>
        <w:rPr>
          <w:rFonts w:ascii="Times New Roman" w:hAnsi="Times New Roman"/>
        </w:rPr>
        <w:t xml:space="preserve"> Its net recoverable value at the date of the decision not to sell or</w:t>
      </w:r>
    </w:p>
    <w:p w:rsidR="00093FFE" w:rsidRDefault="00093FFE" w:rsidP="00093FFE">
      <w:pPr>
        <w:numPr>
          <w:ilvl w:val="0"/>
          <w:numId w:val="20"/>
        </w:numPr>
        <w:rPr>
          <w:rFonts w:ascii="Times New Roman" w:hAnsi="Times New Roman"/>
        </w:rPr>
      </w:pPr>
      <w:r>
        <w:rPr>
          <w:rFonts w:ascii="Times New Roman" w:hAnsi="Times New Roman"/>
        </w:rPr>
        <w:t xml:space="preserve">What its carrying value would have been if the asset was not reclassified in the first place – i.e. if </w:t>
      </w:r>
      <w:r w:rsidR="00CC7307">
        <w:rPr>
          <w:rFonts w:ascii="Times New Roman" w:hAnsi="Times New Roman"/>
        </w:rPr>
        <w:t>depreciation</w:t>
      </w:r>
      <w:r>
        <w:rPr>
          <w:rFonts w:ascii="Times New Roman" w:hAnsi="Times New Roman"/>
        </w:rPr>
        <w:t xml:space="preserve"> had continued as usual.</w:t>
      </w:r>
    </w:p>
    <w:p w:rsidR="001D7DCC" w:rsidRDefault="001D7DCC" w:rsidP="001D7DCC">
      <w:pPr>
        <w:ind w:left="720"/>
        <w:rPr>
          <w:rFonts w:ascii="Times New Roman" w:hAnsi="Times New Roman"/>
        </w:rPr>
      </w:pPr>
    </w:p>
    <w:p w:rsidR="00093FFE" w:rsidRDefault="00093FFE" w:rsidP="00093FFE">
      <w:pPr>
        <w:rPr>
          <w:rFonts w:ascii="Times New Roman" w:hAnsi="Times New Roman"/>
        </w:rPr>
      </w:pPr>
      <w:r>
        <w:rPr>
          <w:rFonts w:ascii="Times New Roman" w:hAnsi="Times New Roman"/>
        </w:rPr>
        <w:t xml:space="preserve">A </w:t>
      </w:r>
      <w:r w:rsidRPr="001D7DCC">
        <w:rPr>
          <w:rFonts w:ascii="Times New Roman" w:hAnsi="Times New Roman"/>
          <w:b/>
        </w:rPr>
        <w:t>disposal group</w:t>
      </w:r>
      <w:r>
        <w:rPr>
          <w:rFonts w:ascii="Times New Roman" w:hAnsi="Times New Roman"/>
        </w:rPr>
        <w:t xml:space="preserve"> is a group of assets sold together is a</w:t>
      </w:r>
      <w:r w:rsidR="001D7DCC">
        <w:rPr>
          <w:rFonts w:ascii="Times New Roman" w:hAnsi="Times New Roman"/>
        </w:rPr>
        <w:t xml:space="preserve"> </w:t>
      </w:r>
      <w:r>
        <w:rPr>
          <w:rFonts w:ascii="Times New Roman" w:hAnsi="Times New Roman"/>
        </w:rPr>
        <w:t>s</w:t>
      </w:r>
      <w:r w:rsidR="001D7DCC">
        <w:rPr>
          <w:rFonts w:ascii="Times New Roman" w:hAnsi="Times New Roman"/>
        </w:rPr>
        <w:t>in</w:t>
      </w:r>
      <w:r>
        <w:rPr>
          <w:rFonts w:ascii="Times New Roman" w:hAnsi="Times New Roman"/>
        </w:rPr>
        <w:t>gle transact</w:t>
      </w:r>
      <w:r w:rsidR="001D7DCC">
        <w:rPr>
          <w:rFonts w:ascii="Times New Roman" w:hAnsi="Times New Roman"/>
        </w:rPr>
        <w:t>i</w:t>
      </w:r>
      <w:r>
        <w:rPr>
          <w:rFonts w:ascii="Times New Roman" w:hAnsi="Times New Roman"/>
        </w:rPr>
        <w:t>on.  Normally, a disposal group is an o</w:t>
      </w:r>
      <w:r w:rsidR="001D7DCC">
        <w:rPr>
          <w:rFonts w:ascii="Times New Roman" w:hAnsi="Times New Roman"/>
        </w:rPr>
        <w:t xml:space="preserve">perating part </w:t>
      </w:r>
      <w:r>
        <w:rPr>
          <w:rFonts w:ascii="Times New Roman" w:hAnsi="Times New Roman"/>
        </w:rPr>
        <w:t>of the business.</w:t>
      </w:r>
    </w:p>
    <w:p w:rsidR="001D7DCC" w:rsidRDefault="001D7DCC" w:rsidP="00093FFE">
      <w:pPr>
        <w:rPr>
          <w:rFonts w:ascii="Times New Roman" w:hAnsi="Times New Roman"/>
        </w:rPr>
      </w:pPr>
    </w:p>
    <w:p w:rsidR="00DA3AEA" w:rsidRDefault="00DA3AEA" w:rsidP="00093FFE">
      <w:pPr>
        <w:rPr>
          <w:rFonts w:ascii="Times New Roman" w:hAnsi="Times New Roman"/>
        </w:rPr>
      </w:pPr>
      <w:r>
        <w:rPr>
          <w:rFonts w:ascii="Times New Roman" w:hAnsi="Times New Roman"/>
        </w:rPr>
        <w:t xml:space="preserve"> Procedures for the accounting for the sale of a group of assets is similar to a single </w:t>
      </w:r>
      <w:r w:rsidR="006351AB" w:rsidRPr="003A4D38">
        <w:rPr>
          <w:rFonts w:ascii="Times New Roman" w:hAnsi="Times New Roman"/>
        </w:rPr>
        <w:t>nonc</w:t>
      </w:r>
      <w:r w:rsidR="006351AB">
        <w:rPr>
          <w:rFonts w:ascii="Times New Roman" w:hAnsi="Times New Roman"/>
        </w:rPr>
        <w:t xml:space="preserve">urrent </w:t>
      </w:r>
      <w:r>
        <w:rPr>
          <w:rFonts w:ascii="Times New Roman" w:hAnsi="Times New Roman"/>
        </w:rPr>
        <w:t>asset as follows:</w:t>
      </w:r>
    </w:p>
    <w:p w:rsidR="00DA3AEA" w:rsidRDefault="00401416" w:rsidP="00DA3AEA">
      <w:pPr>
        <w:numPr>
          <w:ilvl w:val="0"/>
          <w:numId w:val="21"/>
        </w:numPr>
        <w:rPr>
          <w:rFonts w:ascii="Times New Roman" w:hAnsi="Times New Roman"/>
        </w:rPr>
      </w:pPr>
      <w:r>
        <w:rPr>
          <w:rFonts w:ascii="Times New Roman" w:hAnsi="Times New Roman"/>
        </w:rPr>
        <w:t>The g</w:t>
      </w:r>
      <w:r w:rsidR="00DA3AEA">
        <w:rPr>
          <w:rFonts w:ascii="Times New Roman" w:hAnsi="Times New Roman"/>
        </w:rPr>
        <w:t>roup of assets is remeasured b</w:t>
      </w:r>
      <w:r>
        <w:rPr>
          <w:rFonts w:ascii="Times New Roman" w:hAnsi="Times New Roman"/>
        </w:rPr>
        <w:t>y</w:t>
      </w:r>
      <w:r w:rsidR="00DA3AEA">
        <w:rPr>
          <w:rFonts w:ascii="Times New Roman" w:hAnsi="Times New Roman"/>
        </w:rPr>
        <w:t xml:space="preserve"> its individual components.</w:t>
      </w:r>
    </w:p>
    <w:p w:rsidR="00DA3AEA" w:rsidRDefault="00401416" w:rsidP="00DA3AEA">
      <w:pPr>
        <w:numPr>
          <w:ilvl w:val="0"/>
          <w:numId w:val="21"/>
        </w:numPr>
        <w:rPr>
          <w:rFonts w:ascii="Times New Roman" w:hAnsi="Times New Roman"/>
        </w:rPr>
      </w:pPr>
      <w:r>
        <w:rPr>
          <w:rFonts w:ascii="Times New Roman" w:hAnsi="Times New Roman"/>
        </w:rPr>
        <w:t>The asset group as a whole are reported separately as a current asset, and the liabilities are reported separately, not netted.</w:t>
      </w:r>
    </w:p>
    <w:p w:rsidR="00401416" w:rsidRDefault="00401416" w:rsidP="00DA3AEA">
      <w:pPr>
        <w:numPr>
          <w:ilvl w:val="0"/>
          <w:numId w:val="21"/>
        </w:numPr>
        <w:rPr>
          <w:rFonts w:ascii="Times New Roman" w:hAnsi="Times New Roman"/>
        </w:rPr>
      </w:pPr>
      <w:r>
        <w:rPr>
          <w:rFonts w:ascii="Times New Roman" w:hAnsi="Times New Roman"/>
        </w:rPr>
        <w:t>Future revaluations are based on the group as a whole.</w:t>
      </w:r>
    </w:p>
    <w:p w:rsidR="00401416" w:rsidRDefault="00401416" w:rsidP="00401416">
      <w:pPr>
        <w:rPr>
          <w:rFonts w:ascii="Times New Roman" w:hAnsi="Times New Roman"/>
        </w:rPr>
      </w:pPr>
    </w:p>
    <w:p w:rsidR="00401416" w:rsidRDefault="00401416" w:rsidP="00401416">
      <w:pPr>
        <w:rPr>
          <w:rFonts w:ascii="Times New Roman" w:hAnsi="Times New Roman"/>
        </w:rPr>
      </w:pPr>
      <w:r>
        <w:rPr>
          <w:rFonts w:ascii="Times New Roman" w:hAnsi="Times New Roman"/>
        </w:rPr>
        <w:t>Decreases and subsequent recoveries in recoverable value are reported in net income, limited to the carrying value of the asset group at date declared held</w:t>
      </w:r>
      <w:r w:rsidR="001D7DCC">
        <w:rPr>
          <w:rFonts w:ascii="Times New Roman" w:hAnsi="Times New Roman"/>
        </w:rPr>
        <w:t>-s</w:t>
      </w:r>
      <w:r>
        <w:rPr>
          <w:rFonts w:ascii="Times New Roman" w:hAnsi="Times New Roman"/>
        </w:rPr>
        <w:t>ale.  Depreciation stops at date classified as held-for-sale.</w:t>
      </w:r>
    </w:p>
    <w:p w:rsidR="00401416" w:rsidRDefault="00401416" w:rsidP="00401416">
      <w:pPr>
        <w:rPr>
          <w:rFonts w:ascii="Times New Roman" w:hAnsi="Times New Roman"/>
        </w:rPr>
      </w:pPr>
    </w:p>
    <w:p w:rsidR="00401416" w:rsidRDefault="00401416" w:rsidP="00401416">
      <w:pPr>
        <w:rPr>
          <w:rFonts w:ascii="Times New Roman" w:hAnsi="Times New Roman"/>
        </w:rPr>
      </w:pPr>
      <w:r>
        <w:rPr>
          <w:rFonts w:ascii="Times New Roman" w:hAnsi="Times New Roman"/>
        </w:rPr>
        <w:t>There are two categories of disposal groups:</w:t>
      </w:r>
    </w:p>
    <w:p w:rsidR="00401416" w:rsidRDefault="00401416" w:rsidP="00401416">
      <w:pPr>
        <w:numPr>
          <w:ilvl w:val="0"/>
          <w:numId w:val="22"/>
        </w:numPr>
        <w:rPr>
          <w:rFonts w:ascii="Times New Roman" w:hAnsi="Times New Roman"/>
        </w:rPr>
      </w:pPr>
      <w:r>
        <w:rPr>
          <w:rFonts w:ascii="Times New Roman" w:hAnsi="Times New Roman"/>
        </w:rPr>
        <w:t xml:space="preserve"> Asset groups that are stand-alone groups and</w:t>
      </w:r>
    </w:p>
    <w:p w:rsidR="00401416" w:rsidRDefault="00401416" w:rsidP="00401416">
      <w:pPr>
        <w:numPr>
          <w:ilvl w:val="0"/>
          <w:numId w:val="22"/>
        </w:numPr>
        <w:rPr>
          <w:rFonts w:ascii="Times New Roman" w:hAnsi="Times New Roman"/>
        </w:rPr>
      </w:pPr>
      <w:r>
        <w:rPr>
          <w:rFonts w:ascii="Times New Roman" w:hAnsi="Times New Roman"/>
        </w:rPr>
        <w:t xml:space="preserve">Asset groups that are part of a </w:t>
      </w:r>
      <w:r w:rsidRPr="00401416">
        <w:rPr>
          <w:rFonts w:ascii="Times New Roman" w:hAnsi="Times New Roman"/>
          <w:i/>
        </w:rPr>
        <w:t>discontinued operation</w:t>
      </w:r>
      <w:r>
        <w:rPr>
          <w:rFonts w:ascii="Times New Roman" w:hAnsi="Times New Roman"/>
        </w:rPr>
        <w:t>.</w:t>
      </w:r>
    </w:p>
    <w:p w:rsidR="001D7DCC" w:rsidRDefault="001D7DCC" w:rsidP="001D7DCC">
      <w:pPr>
        <w:rPr>
          <w:rFonts w:ascii="Times New Roman" w:hAnsi="Times New Roman"/>
        </w:rPr>
      </w:pPr>
    </w:p>
    <w:p w:rsidR="001D7DCC" w:rsidRDefault="001D7DCC" w:rsidP="001D7DCC">
      <w:pPr>
        <w:pStyle w:val="Head1"/>
        <w:spacing w:after="0"/>
        <w:outlineLvl w:val="0"/>
        <w:rPr>
          <w:rFonts w:ascii="Times New Roman" w:hAnsi="Times New Roman"/>
          <w:bCs/>
        </w:rPr>
      </w:pPr>
      <w:r>
        <w:rPr>
          <w:rFonts w:ascii="Times New Roman" w:hAnsi="Times New Roman"/>
          <w:bCs/>
        </w:rPr>
        <w:t>Discontinued Operations</w:t>
      </w:r>
    </w:p>
    <w:p w:rsidR="001D7DCC" w:rsidRDefault="001D7DCC" w:rsidP="001D7DCC">
      <w:pPr>
        <w:rPr>
          <w:rFonts w:ascii="Times New Roman" w:hAnsi="Times New Roman"/>
        </w:rPr>
      </w:pPr>
      <w:r>
        <w:rPr>
          <w:rFonts w:ascii="Times New Roman" w:hAnsi="Times New Roman"/>
        </w:rPr>
        <w:t xml:space="preserve">The sale or disposal of a segment of a business results in a </w:t>
      </w:r>
      <w:r>
        <w:rPr>
          <w:rFonts w:ascii="Times New Roman" w:hAnsi="Times New Roman"/>
          <w:b/>
        </w:rPr>
        <w:t xml:space="preserve">discontinued operation. </w:t>
      </w:r>
      <w:r>
        <w:rPr>
          <w:rFonts w:ascii="Times New Roman" w:hAnsi="Times New Roman"/>
        </w:rPr>
        <w:t>The revenue and expenses, gains and losses are removed f</w:t>
      </w:r>
      <w:r w:rsidR="00E73EE3">
        <w:rPr>
          <w:rFonts w:ascii="Times New Roman" w:hAnsi="Times New Roman"/>
        </w:rPr>
        <w:t>ro</w:t>
      </w:r>
      <w:r>
        <w:rPr>
          <w:rFonts w:ascii="Times New Roman" w:hAnsi="Times New Roman"/>
        </w:rPr>
        <w:t xml:space="preserve">m the </w:t>
      </w:r>
      <w:r w:rsidR="003A4D38">
        <w:rPr>
          <w:rFonts w:ascii="Times New Roman" w:hAnsi="Times New Roman"/>
        </w:rPr>
        <w:t>SCI</w:t>
      </w:r>
      <w:r>
        <w:rPr>
          <w:rFonts w:ascii="Times New Roman" w:hAnsi="Times New Roman"/>
        </w:rPr>
        <w:t xml:space="preserve"> and the assets and liabilities are segregated on the </w:t>
      </w:r>
      <w:r w:rsidR="003A4D38">
        <w:rPr>
          <w:rFonts w:ascii="Times New Roman" w:hAnsi="Times New Roman"/>
        </w:rPr>
        <w:t>SFP</w:t>
      </w:r>
      <w:r w:rsidR="008A5790">
        <w:rPr>
          <w:rFonts w:ascii="Times New Roman" w:hAnsi="Times New Roman"/>
        </w:rPr>
        <w:t xml:space="preserve"> as a single held-for-sale asset</w:t>
      </w:r>
      <w:r>
        <w:rPr>
          <w:rFonts w:ascii="Times New Roman" w:hAnsi="Times New Roman"/>
        </w:rPr>
        <w:t>. This allows users to compare financial statements for continuing operations. It applies to the current and prior year’s comparative income statement.</w:t>
      </w:r>
    </w:p>
    <w:p w:rsidR="001D7DCC" w:rsidRDefault="001D7DCC" w:rsidP="001D7DCC">
      <w:pPr>
        <w:rPr>
          <w:rFonts w:ascii="Times New Roman" w:hAnsi="Times New Roman"/>
        </w:rPr>
      </w:pPr>
    </w:p>
    <w:p w:rsidR="001D7DCC" w:rsidRPr="008C4A14" w:rsidRDefault="001D7DCC" w:rsidP="001D7DCC">
      <w:pPr>
        <w:rPr>
          <w:rFonts w:ascii="Times New Roman" w:hAnsi="Times New Roman"/>
        </w:rPr>
      </w:pPr>
      <w:r>
        <w:rPr>
          <w:rFonts w:ascii="Times New Roman" w:hAnsi="Times New Roman"/>
        </w:rPr>
        <w:t>Discontinued operation</w:t>
      </w:r>
      <w:r w:rsidR="008A5790">
        <w:rPr>
          <w:rFonts w:ascii="Times New Roman" w:hAnsi="Times New Roman"/>
        </w:rPr>
        <w:t>s</w:t>
      </w:r>
      <w:r>
        <w:rPr>
          <w:rFonts w:ascii="Times New Roman" w:hAnsi="Times New Roman"/>
        </w:rPr>
        <w:t xml:space="preserve"> is a part of the enterprise that is clearly distinguishable from the rest of the enterprise, and the operations must therefore be </w:t>
      </w:r>
      <w:r>
        <w:rPr>
          <w:rFonts w:ascii="Times New Roman" w:hAnsi="Times New Roman"/>
          <w:i/>
        </w:rPr>
        <w:t>separable</w:t>
      </w:r>
      <w:r>
        <w:rPr>
          <w:rFonts w:ascii="Times New Roman" w:hAnsi="Times New Roman"/>
        </w:rPr>
        <w:t xml:space="preserve">. Discontinued operation can be a subsidiary or operational division, and can comprise either an asset group or pure operations without any long-lived assets. </w:t>
      </w:r>
    </w:p>
    <w:p w:rsidR="001D7DCC" w:rsidRDefault="001D7DCC" w:rsidP="001D7DCC">
      <w:pPr>
        <w:rPr>
          <w:rFonts w:ascii="Times New Roman" w:hAnsi="Times New Roman"/>
        </w:rPr>
      </w:pPr>
    </w:p>
    <w:p w:rsidR="001D7DCC" w:rsidRDefault="001D7DCC" w:rsidP="001D7DCC">
      <w:pPr>
        <w:rPr>
          <w:rFonts w:ascii="Times New Roman" w:hAnsi="Times New Roman"/>
        </w:rPr>
      </w:pPr>
      <w:r>
        <w:rPr>
          <w:rFonts w:ascii="Times New Roman" w:hAnsi="Times New Roman"/>
        </w:rPr>
        <w:lastRenderedPageBreak/>
        <w:t>The important element is that the operation can be separated from the rest of the organization. Its revenues, expenses, gains and losses, assets and liabilities must be able to be separately identified.</w:t>
      </w:r>
      <w:r w:rsidR="00E73EE3">
        <w:rPr>
          <w:rFonts w:ascii="Times New Roman" w:hAnsi="Times New Roman"/>
        </w:rPr>
        <w:t xml:space="preserve">  The assets of a discontinued operation are held-for-sale current assets under IFRS (but not ASPE).  </w:t>
      </w:r>
      <w:r w:rsidR="008A5790">
        <w:rPr>
          <w:rFonts w:ascii="Times New Roman" w:hAnsi="Times New Roman"/>
        </w:rPr>
        <w:t xml:space="preserve">Depreciation </w:t>
      </w:r>
      <w:r w:rsidR="00E73EE3">
        <w:rPr>
          <w:rFonts w:ascii="Times New Roman" w:hAnsi="Times New Roman"/>
        </w:rPr>
        <w:t>is discontinued and the assets are re</w:t>
      </w:r>
      <w:r w:rsidR="00483320">
        <w:rPr>
          <w:rFonts w:ascii="Times New Roman" w:hAnsi="Times New Roman"/>
        </w:rPr>
        <w:t>-</w:t>
      </w:r>
      <w:r w:rsidR="00E73EE3">
        <w:rPr>
          <w:rFonts w:ascii="Times New Roman" w:hAnsi="Times New Roman"/>
        </w:rPr>
        <w:t>measured at their fair value.</w:t>
      </w:r>
    </w:p>
    <w:p w:rsidR="001D7DCC" w:rsidRPr="00206ADC" w:rsidRDefault="001D7DCC" w:rsidP="001D7DCC">
      <w:pPr>
        <w:rPr>
          <w:rFonts w:ascii="Times New Roman" w:hAnsi="Times New Roman"/>
          <w:b/>
        </w:rPr>
      </w:pPr>
    </w:p>
    <w:p w:rsidR="001D7DCC" w:rsidRDefault="00E73EE3" w:rsidP="001D7DCC">
      <w:pPr>
        <w:rPr>
          <w:rFonts w:ascii="Times New Roman" w:hAnsi="Times New Roman"/>
        </w:rPr>
      </w:pPr>
      <w:r w:rsidRPr="00206ADC">
        <w:rPr>
          <w:rFonts w:ascii="Times New Roman" w:hAnsi="Times New Roman"/>
          <w:b/>
        </w:rPr>
        <w:t>Definition</w:t>
      </w:r>
    </w:p>
    <w:p w:rsidR="00E73EE3" w:rsidRDefault="00E73EE3" w:rsidP="001D7DCC">
      <w:pPr>
        <w:rPr>
          <w:rFonts w:ascii="Times New Roman" w:hAnsi="Times New Roman"/>
        </w:rPr>
      </w:pPr>
      <w:r>
        <w:rPr>
          <w:rFonts w:ascii="Times New Roman" w:hAnsi="Times New Roman"/>
        </w:rPr>
        <w:t xml:space="preserve">To qualify as a discontinued operation, a disposal group must be a </w:t>
      </w:r>
      <w:r w:rsidR="00583B79">
        <w:rPr>
          <w:rFonts w:ascii="Times New Roman" w:hAnsi="Times New Roman"/>
          <w:b/>
        </w:rPr>
        <w:t>cash-</w:t>
      </w:r>
      <w:r w:rsidRPr="00583B79">
        <w:rPr>
          <w:rFonts w:ascii="Times New Roman" w:hAnsi="Times New Roman"/>
          <w:b/>
        </w:rPr>
        <w:t>generating unit</w:t>
      </w:r>
      <w:r>
        <w:rPr>
          <w:rFonts w:ascii="Times New Roman" w:hAnsi="Times New Roman"/>
        </w:rPr>
        <w:t xml:space="preserve"> of the business that constitutes a major line of business or significant geographic segment.</w:t>
      </w:r>
      <w:r w:rsidR="00583B79">
        <w:rPr>
          <w:rFonts w:ascii="Times New Roman" w:hAnsi="Times New Roman"/>
        </w:rPr>
        <w:t xml:space="preserve">  A cash-generating unit is a “group of assets that generates cash flows that are largely independent of the cash inflows from other assets or groups of assets.”</w:t>
      </w:r>
    </w:p>
    <w:p w:rsidR="001819E6" w:rsidRDefault="001819E6" w:rsidP="001D7DCC">
      <w:pPr>
        <w:rPr>
          <w:rFonts w:ascii="Times New Roman" w:hAnsi="Times New Roman"/>
        </w:rPr>
      </w:pPr>
    </w:p>
    <w:p w:rsidR="00E73EE3" w:rsidRDefault="00E73EE3" w:rsidP="001D7DCC">
      <w:pPr>
        <w:rPr>
          <w:rFonts w:ascii="Times New Roman" w:hAnsi="Times New Roman"/>
        </w:rPr>
      </w:pPr>
      <w:r>
        <w:rPr>
          <w:rFonts w:ascii="Times New Roman" w:hAnsi="Times New Roman"/>
        </w:rPr>
        <w:t>IFRS 5 defines a discontinued operation as an operating segment of a company that either (1) has been sold or (2) is held-for-sale.  Under IFRS, the special reporting requirements for discontinued operations should be applied only upon the discontinuance of major business segments.</w:t>
      </w:r>
      <w:r w:rsidR="003D577E">
        <w:rPr>
          <w:rFonts w:ascii="Times New Roman" w:hAnsi="Times New Roman"/>
        </w:rPr>
        <w:t xml:space="preserve">  An operation is reported as discontinued when management has made the decision and has begun the process of</w:t>
      </w:r>
      <w:r w:rsidR="001819E6">
        <w:rPr>
          <w:rFonts w:ascii="Times New Roman" w:hAnsi="Times New Roman"/>
        </w:rPr>
        <w:t xml:space="preserve"> selling it or shutting it down and the proceeds of the sale must be recovered mainly through a sales transaction rather than continued use.</w:t>
      </w:r>
    </w:p>
    <w:p w:rsidR="003D577E" w:rsidRDefault="003D577E" w:rsidP="001D7DCC">
      <w:pPr>
        <w:rPr>
          <w:rFonts w:ascii="Times New Roman" w:hAnsi="Times New Roman"/>
        </w:rPr>
      </w:pPr>
    </w:p>
    <w:p w:rsidR="003D577E" w:rsidRPr="00206ADC" w:rsidRDefault="003D577E" w:rsidP="001D7DCC">
      <w:pPr>
        <w:rPr>
          <w:rFonts w:ascii="Times New Roman" w:hAnsi="Times New Roman"/>
          <w:b/>
        </w:rPr>
      </w:pPr>
      <w:r w:rsidRPr="00206ADC">
        <w:rPr>
          <w:rFonts w:ascii="Times New Roman" w:hAnsi="Times New Roman"/>
          <w:b/>
        </w:rPr>
        <w:t>Reporting Discontinued Operations</w:t>
      </w:r>
    </w:p>
    <w:p w:rsidR="00E73EE3" w:rsidRDefault="00034D93" w:rsidP="001D7DCC">
      <w:pPr>
        <w:rPr>
          <w:rFonts w:ascii="Times New Roman" w:hAnsi="Times New Roman"/>
        </w:rPr>
      </w:pPr>
      <w:r>
        <w:rPr>
          <w:rFonts w:ascii="Times New Roman" w:hAnsi="Times New Roman"/>
        </w:rPr>
        <w:t xml:space="preserve"> The results are reported in </w:t>
      </w:r>
      <w:r w:rsidRPr="00034D93">
        <w:rPr>
          <w:rFonts w:ascii="Times New Roman" w:hAnsi="Times New Roman"/>
        </w:rPr>
        <w:t>the Statement of comprehensive income as a single line item after earnings from continuing operations</w:t>
      </w:r>
      <w:r w:rsidR="00CC1AAF">
        <w:rPr>
          <w:rFonts w:ascii="Times New Roman" w:hAnsi="Times New Roman"/>
        </w:rPr>
        <w:t>.</w:t>
      </w:r>
      <w:r w:rsidRPr="00034D93">
        <w:rPr>
          <w:rFonts w:ascii="Times New Roman" w:hAnsi="Times New Roman"/>
        </w:rPr>
        <w:t xml:space="preserve"> </w:t>
      </w:r>
      <w:r w:rsidR="00CC1AAF">
        <w:rPr>
          <w:rFonts w:ascii="Times New Roman" w:hAnsi="Times New Roman"/>
        </w:rPr>
        <w:t xml:space="preserve"> The results of discontinued operations should appear in the profit or loss section of the statement, not in OCI.</w:t>
      </w:r>
    </w:p>
    <w:p w:rsidR="00034D93" w:rsidRDefault="00034D93" w:rsidP="001D7DCC">
      <w:pPr>
        <w:rPr>
          <w:rFonts w:ascii="Times New Roman" w:hAnsi="Times New Roman"/>
        </w:rPr>
      </w:pPr>
      <w:r>
        <w:rPr>
          <w:rFonts w:ascii="Times New Roman" w:hAnsi="Times New Roman"/>
        </w:rPr>
        <w:t>The two broad components are:</w:t>
      </w:r>
    </w:p>
    <w:p w:rsidR="00034D93" w:rsidRDefault="00034D93" w:rsidP="00034D93">
      <w:pPr>
        <w:numPr>
          <w:ilvl w:val="0"/>
          <w:numId w:val="23"/>
        </w:numPr>
        <w:rPr>
          <w:rFonts w:ascii="Times New Roman" w:hAnsi="Times New Roman"/>
        </w:rPr>
      </w:pPr>
      <w:r>
        <w:rPr>
          <w:rFonts w:ascii="Times New Roman" w:hAnsi="Times New Roman"/>
        </w:rPr>
        <w:t xml:space="preserve"> The net profit or loss, net of related income taxes from operating the discontinued operation to the date of disposal or the end of the reporting period, if the disposal is not complete by year-end and</w:t>
      </w:r>
    </w:p>
    <w:p w:rsidR="00034D93" w:rsidRPr="00034D93" w:rsidRDefault="00483320" w:rsidP="00034D93">
      <w:pPr>
        <w:numPr>
          <w:ilvl w:val="0"/>
          <w:numId w:val="23"/>
        </w:numPr>
        <w:rPr>
          <w:rFonts w:ascii="Times New Roman" w:hAnsi="Times New Roman"/>
        </w:rPr>
      </w:pPr>
      <w:r>
        <w:rPr>
          <w:rFonts w:ascii="Times New Roman" w:hAnsi="Times New Roman"/>
        </w:rPr>
        <w:t>Write downs</w:t>
      </w:r>
      <w:r w:rsidR="00034D93">
        <w:rPr>
          <w:rFonts w:ascii="Times New Roman" w:hAnsi="Times New Roman"/>
        </w:rPr>
        <w:t xml:space="preserve"> of asset carrying values to fair value less cost to sell, and all realized gains or losses on disposal to the extent not previously recognized, net of related income taxes.</w:t>
      </w:r>
    </w:p>
    <w:p w:rsidR="00034D93" w:rsidRDefault="00034D93" w:rsidP="001D7DCC">
      <w:pPr>
        <w:rPr>
          <w:rFonts w:ascii="Times New Roman" w:hAnsi="Times New Roman"/>
        </w:rPr>
      </w:pPr>
    </w:p>
    <w:p w:rsidR="00034D93" w:rsidRPr="0015732E" w:rsidRDefault="00034D93" w:rsidP="001D7DCC">
      <w:pPr>
        <w:rPr>
          <w:rFonts w:ascii="Times New Roman" w:hAnsi="Times New Roman"/>
          <w:b/>
        </w:rPr>
      </w:pPr>
      <w:r w:rsidRPr="0015732E">
        <w:rPr>
          <w:rFonts w:ascii="Times New Roman" w:hAnsi="Times New Roman"/>
          <w:b/>
        </w:rPr>
        <w:t>Statement of Financial Position (SFP)</w:t>
      </w:r>
    </w:p>
    <w:p w:rsidR="00034D93" w:rsidRDefault="00034D93" w:rsidP="001D7DCC">
      <w:pPr>
        <w:rPr>
          <w:rFonts w:ascii="Times New Roman" w:hAnsi="Times New Roman"/>
        </w:rPr>
      </w:pPr>
      <w:r>
        <w:rPr>
          <w:rFonts w:ascii="Times New Roman" w:hAnsi="Times New Roman"/>
        </w:rPr>
        <w:t xml:space="preserve">The assets are reclassified as held-for-sale and are reported as a single current asset line item, labeled as </w:t>
      </w:r>
      <w:r w:rsidRPr="00034D93">
        <w:rPr>
          <w:rFonts w:ascii="Times New Roman" w:hAnsi="Times New Roman"/>
          <w:i/>
        </w:rPr>
        <w:t>assets of discontinued operations held-for-sale</w:t>
      </w:r>
      <w:r>
        <w:rPr>
          <w:rFonts w:ascii="Times New Roman" w:hAnsi="Times New Roman"/>
        </w:rPr>
        <w:t xml:space="preserve">.  Liabilities are reclassified as a single liability item as </w:t>
      </w:r>
      <w:r w:rsidRPr="00034D93">
        <w:rPr>
          <w:rFonts w:ascii="Times New Roman" w:hAnsi="Times New Roman"/>
          <w:i/>
        </w:rPr>
        <w:t>liabilities related to discontinued operations</w:t>
      </w:r>
      <w:r>
        <w:rPr>
          <w:rFonts w:ascii="Times New Roman" w:hAnsi="Times New Roman"/>
        </w:rPr>
        <w:t>.</w:t>
      </w:r>
    </w:p>
    <w:p w:rsidR="00034D93" w:rsidRDefault="00034D93" w:rsidP="001D7DCC">
      <w:pPr>
        <w:rPr>
          <w:rFonts w:ascii="Times New Roman" w:hAnsi="Times New Roman"/>
        </w:rPr>
      </w:pPr>
    </w:p>
    <w:p w:rsidR="00034D93" w:rsidRDefault="00034D93" w:rsidP="001D7DCC">
      <w:pPr>
        <w:rPr>
          <w:rFonts w:ascii="Times New Roman" w:hAnsi="Times New Roman"/>
        </w:rPr>
      </w:pPr>
      <w:r w:rsidRPr="0015732E">
        <w:rPr>
          <w:rFonts w:ascii="Times New Roman" w:hAnsi="Times New Roman"/>
          <w:b/>
        </w:rPr>
        <w:t>Effects on the SFP are summarized</w:t>
      </w:r>
      <w:r>
        <w:rPr>
          <w:rFonts w:ascii="Times New Roman" w:hAnsi="Times New Roman"/>
        </w:rPr>
        <w:t>:</w:t>
      </w:r>
    </w:p>
    <w:p w:rsidR="00CC1AAF" w:rsidRDefault="00CC1AAF" w:rsidP="00237A5B">
      <w:pPr>
        <w:numPr>
          <w:ilvl w:val="0"/>
          <w:numId w:val="39"/>
        </w:numPr>
        <w:rPr>
          <w:rFonts w:ascii="Times New Roman" w:hAnsi="Times New Roman"/>
        </w:rPr>
      </w:pPr>
      <w:r>
        <w:rPr>
          <w:rFonts w:ascii="Times New Roman" w:hAnsi="Times New Roman"/>
        </w:rPr>
        <w:t>Depreciation and amortization</w:t>
      </w:r>
      <w:r w:rsidR="00034D93">
        <w:rPr>
          <w:rFonts w:ascii="Times New Roman" w:hAnsi="Times New Roman"/>
        </w:rPr>
        <w:t xml:space="preserve"> ceases, effective on the date of the discontinuance decision.</w:t>
      </w:r>
    </w:p>
    <w:p w:rsidR="00CC1AAF" w:rsidRDefault="00034D93" w:rsidP="00237A5B">
      <w:pPr>
        <w:numPr>
          <w:ilvl w:val="0"/>
          <w:numId w:val="39"/>
        </w:numPr>
        <w:rPr>
          <w:rFonts w:ascii="Times New Roman" w:hAnsi="Times New Roman"/>
        </w:rPr>
      </w:pPr>
      <w:r w:rsidRPr="00CC1AAF">
        <w:rPr>
          <w:rFonts w:ascii="Times New Roman" w:hAnsi="Times New Roman"/>
        </w:rPr>
        <w:t xml:space="preserve">Current assets are carried at </w:t>
      </w:r>
      <w:r w:rsidR="00CC1AAF">
        <w:rPr>
          <w:rFonts w:ascii="Times New Roman" w:hAnsi="Times New Roman"/>
        </w:rPr>
        <w:t>lower of cost or fair value less costs to sell (or at fair value under IFRS)</w:t>
      </w:r>
    </w:p>
    <w:p w:rsidR="00CC1AAF" w:rsidRDefault="00034D93" w:rsidP="00237A5B">
      <w:pPr>
        <w:numPr>
          <w:ilvl w:val="0"/>
          <w:numId w:val="39"/>
        </w:numPr>
        <w:rPr>
          <w:rFonts w:ascii="Times New Roman" w:hAnsi="Times New Roman"/>
        </w:rPr>
      </w:pPr>
      <w:r w:rsidRPr="00CC1AAF">
        <w:rPr>
          <w:rFonts w:ascii="Times New Roman" w:hAnsi="Times New Roman"/>
        </w:rPr>
        <w:t xml:space="preserve">Capital assets (tangible and intangible) are carried at lower of amortized cost or </w:t>
      </w:r>
      <w:r w:rsidR="00CC1AAF">
        <w:rPr>
          <w:rFonts w:ascii="Times New Roman" w:hAnsi="Times New Roman"/>
        </w:rPr>
        <w:t>fair value less costs to sell</w:t>
      </w:r>
      <w:r w:rsidRPr="00CC1AAF">
        <w:rPr>
          <w:rFonts w:ascii="Times New Roman" w:hAnsi="Times New Roman"/>
        </w:rPr>
        <w:t>.</w:t>
      </w:r>
    </w:p>
    <w:p w:rsidR="00CC1AAF" w:rsidRDefault="00034D93" w:rsidP="00237A5B">
      <w:pPr>
        <w:numPr>
          <w:ilvl w:val="0"/>
          <w:numId w:val="39"/>
        </w:numPr>
        <w:rPr>
          <w:rFonts w:ascii="Times New Roman" w:hAnsi="Times New Roman"/>
        </w:rPr>
      </w:pPr>
      <w:r w:rsidRPr="00CC1AAF">
        <w:rPr>
          <w:rFonts w:ascii="Times New Roman" w:hAnsi="Times New Roman"/>
        </w:rPr>
        <w:t>All assets are grouped together and shown as a</w:t>
      </w:r>
      <w:r w:rsidR="0015732E" w:rsidRPr="00CC1AAF">
        <w:rPr>
          <w:rFonts w:ascii="Times New Roman" w:hAnsi="Times New Roman"/>
        </w:rPr>
        <w:t xml:space="preserve"> </w:t>
      </w:r>
      <w:r w:rsidRPr="00CC1AAF">
        <w:rPr>
          <w:rFonts w:ascii="Times New Roman" w:hAnsi="Times New Roman"/>
        </w:rPr>
        <w:t>single “held-for-sale” current asset.</w:t>
      </w:r>
    </w:p>
    <w:p w:rsidR="00034D93" w:rsidRPr="00CC1AAF" w:rsidRDefault="00034D93" w:rsidP="00237A5B">
      <w:pPr>
        <w:numPr>
          <w:ilvl w:val="0"/>
          <w:numId w:val="39"/>
        </w:numPr>
        <w:rPr>
          <w:rFonts w:ascii="Times New Roman" w:hAnsi="Times New Roman"/>
        </w:rPr>
      </w:pPr>
      <w:r w:rsidRPr="00CC1AAF">
        <w:rPr>
          <w:rFonts w:ascii="Times New Roman" w:hAnsi="Times New Roman"/>
        </w:rPr>
        <w:t>Liabilities continue to accrue, and are shown as a single current liability item.</w:t>
      </w:r>
    </w:p>
    <w:p w:rsidR="00034D93" w:rsidRDefault="00034D93" w:rsidP="00034D93">
      <w:pPr>
        <w:rPr>
          <w:rFonts w:ascii="Times New Roman" w:hAnsi="Times New Roman"/>
        </w:rPr>
      </w:pPr>
    </w:p>
    <w:p w:rsidR="00034D93" w:rsidRPr="0015732E" w:rsidRDefault="00EC6DF9" w:rsidP="00034D93">
      <w:pPr>
        <w:rPr>
          <w:rFonts w:ascii="Times New Roman" w:hAnsi="Times New Roman"/>
          <w:b/>
        </w:rPr>
      </w:pPr>
      <w:r>
        <w:rPr>
          <w:rFonts w:ascii="Times New Roman" w:hAnsi="Times New Roman"/>
          <w:b/>
        </w:rPr>
        <w:br w:type="page"/>
      </w:r>
      <w:r w:rsidR="00034D93" w:rsidRPr="0015732E">
        <w:rPr>
          <w:rFonts w:ascii="Times New Roman" w:hAnsi="Times New Roman"/>
          <w:b/>
        </w:rPr>
        <w:lastRenderedPageBreak/>
        <w:t>Disclosure</w:t>
      </w:r>
    </w:p>
    <w:p w:rsidR="0015732E" w:rsidRDefault="0015732E" w:rsidP="00034D93">
      <w:pPr>
        <w:rPr>
          <w:rFonts w:ascii="Times New Roman" w:hAnsi="Times New Roman"/>
        </w:rPr>
      </w:pPr>
      <w:r>
        <w:rPr>
          <w:rFonts w:ascii="Times New Roman" w:hAnsi="Times New Roman"/>
        </w:rPr>
        <w:t xml:space="preserve">In the notes, the company should provide a description of the facts and circumstances leading to the disposal along with the expected manner and timing of disposal.  As well, the components of the single amount of net </w:t>
      </w:r>
      <w:r w:rsidR="00737D21">
        <w:rPr>
          <w:rFonts w:ascii="Times New Roman" w:hAnsi="Times New Roman"/>
        </w:rPr>
        <w:t>gain</w:t>
      </w:r>
      <w:r>
        <w:rPr>
          <w:rFonts w:ascii="Times New Roman" w:hAnsi="Times New Roman"/>
        </w:rPr>
        <w:t xml:space="preserve"> or loss </w:t>
      </w:r>
      <w:r w:rsidR="00737D21">
        <w:rPr>
          <w:rFonts w:ascii="Times New Roman" w:hAnsi="Times New Roman"/>
        </w:rPr>
        <w:t xml:space="preserve">from discontinued operations </w:t>
      </w:r>
      <w:r>
        <w:rPr>
          <w:rFonts w:ascii="Times New Roman" w:hAnsi="Times New Roman"/>
        </w:rPr>
        <w:t>that is reported in the income statement should be disclosed.</w:t>
      </w:r>
      <w:r w:rsidR="00737D21">
        <w:rPr>
          <w:rFonts w:ascii="Times New Roman" w:hAnsi="Times New Roman"/>
        </w:rPr>
        <w:t xml:space="preserve">  The disclosed components should be:</w:t>
      </w:r>
    </w:p>
    <w:p w:rsidR="00737D21" w:rsidRDefault="00737D21" w:rsidP="00737D21">
      <w:pPr>
        <w:numPr>
          <w:ilvl w:val="0"/>
          <w:numId w:val="34"/>
        </w:numPr>
        <w:rPr>
          <w:rFonts w:ascii="Times New Roman" w:hAnsi="Times New Roman"/>
        </w:rPr>
      </w:pPr>
      <w:r>
        <w:rPr>
          <w:rFonts w:ascii="Times New Roman" w:hAnsi="Times New Roman"/>
        </w:rPr>
        <w:t>The revenue, expense, and pretax profit (or loss) of the discontinued operation;</w:t>
      </w:r>
    </w:p>
    <w:p w:rsidR="00737D21" w:rsidRDefault="00737D21" w:rsidP="00737D21">
      <w:pPr>
        <w:numPr>
          <w:ilvl w:val="0"/>
          <w:numId w:val="34"/>
        </w:numPr>
        <w:rPr>
          <w:rFonts w:ascii="Times New Roman" w:hAnsi="Times New Roman"/>
        </w:rPr>
      </w:pPr>
      <w:r>
        <w:rPr>
          <w:rFonts w:ascii="Times New Roman" w:hAnsi="Times New Roman"/>
        </w:rPr>
        <w:t>The income tax amount that is related to the pretax profit or loss;</w:t>
      </w:r>
    </w:p>
    <w:p w:rsidR="00737D21" w:rsidRDefault="00737D21" w:rsidP="00737D21">
      <w:pPr>
        <w:numPr>
          <w:ilvl w:val="0"/>
          <w:numId w:val="34"/>
        </w:numPr>
        <w:rPr>
          <w:rFonts w:ascii="Times New Roman" w:hAnsi="Times New Roman"/>
        </w:rPr>
      </w:pPr>
      <w:r>
        <w:rPr>
          <w:rFonts w:ascii="Times New Roman" w:hAnsi="Times New Roman"/>
        </w:rPr>
        <w:t>The gain or loss recognized on the remeasurement of assets and liabilities to fair value less costs to sell; and</w:t>
      </w:r>
    </w:p>
    <w:p w:rsidR="00737D21" w:rsidRDefault="00737D21" w:rsidP="00737D21">
      <w:pPr>
        <w:numPr>
          <w:ilvl w:val="0"/>
          <w:numId w:val="34"/>
        </w:numPr>
        <w:rPr>
          <w:rFonts w:ascii="Times New Roman" w:hAnsi="Times New Roman"/>
        </w:rPr>
      </w:pPr>
      <w:r>
        <w:rPr>
          <w:rFonts w:ascii="Times New Roman" w:hAnsi="Times New Roman"/>
        </w:rPr>
        <w:t>The income tax relating to the remeasurement gain or loss</w:t>
      </w:r>
    </w:p>
    <w:p w:rsidR="0015732E" w:rsidRDefault="0015732E" w:rsidP="00034D93">
      <w:pPr>
        <w:rPr>
          <w:rFonts w:ascii="Times New Roman" w:hAnsi="Times New Roman"/>
        </w:rPr>
      </w:pPr>
    </w:p>
    <w:p w:rsidR="00EE611A" w:rsidRDefault="0015732E" w:rsidP="00F749DA">
      <w:pPr>
        <w:rPr>
          <w:rFonts w:ascii="Times New Roman" w:hAnsi="Times New Roman"/>
        </w:rPr>
      </w:pPr>
      <w:r w:rsidRPr="0015732E">
        <w:rPr>
          <w:rFonts w:ascii="Times New Roman" w:hAnsi="Times New Roman"/>
          <w:b/>
        </w:rPr>
        <w:t>Adjusting Comparative Statements</w:t>
      </w:r>
      <w:r>
        <w:rPr>
          <w:rFonts w:ascii="Times New Roman" w:hAnsi="Times New Roman"/>
        </w:rPr>
        <w:t xml:space="preserve">  </w:t>
      </w:r>
    </w:p>
    <w:p w:rsidR="00F749DA" w:rsidRDefault="0015732E" w:rsidP="00F749DA">
      <w:pPr>
        <w:rPr>
          <w:rFonts w:ascii="Times New Roman" w:hAnsi="Times New Roman"/>
        </w:rPr>
      </w:pPr>
      <w:r>
        <w:rPr>
          <w:rFonts w:ascii="Times New Roman" w:hAnsi="Times New Roman"/>
        </w:rPr>
        <w:t>All prior period amounts relating to discontinued operations should be segregated for that business segment, both on the SFP and on the income statement.</w:t>
      </w:r>
      <w:r w:rsidR="0058696C">
        <w:rPr>
          <w:rFonts w:ascii="Times New Roman" w:hAnsi="Times New Roman"/>
        </w:rPr>
        <w:t xml:space="preserve">  </w:t>
      </w:r>
      <w:r w:rsidR="00EC6DF9">
        <w:rPr>
          <w:rFonts w:ascii="Times New Roman" w:hAnsi="Times New Roman"/>
        </w:rPr>
        <w:t xml:space="preserve"> </w:t>
      </w:r>
    </w:p>
    <w:p w:rsidR="00F749DA" w:rsidRDefault="00F749DA" w:rsidP="00F749DA">
      <w:pPr>
        <w:rPr>
          <w:rFonts w:ascii="Times New Roman" w:hAnsi="Times New Roman"/>
        </w:rPr>
      </w:pPr>
    </w:p>
    <w:p w:rsidR="0015732E" w:rsidRDefault="00F749DA" w:rsidP="00034D93">
      <w:pPr>
        <w:rPr>
          <w:rFonts w:ascii="Times New Roman" w:hAnsi="Times New Roman"/>
        </w:rPr>
      </w:pPr>
      <w:r>
        <w:rPr>
          <w:rFonts w:ascii="Times New Roman" w:hAnsi="Times New Roman"/>
        </w:rPr>
        <w:t xml:space="preserve">See </w:t>
      </w:r>
      <w:r w:rsidRPr="0015732E">
        <w:rPr>
          <w:rFonts w:ascii="Times New Roman" w:hAnsi="Times New Roman"/>
          <w:b/>
        </w:rPr>
        <w:t>Exhibit 3-</w:t>
      </w:r>
      <w:r>
        <w:rPr>
          <w:rFonts w:ascii="Times New Roman" w:hAnsi="Times New Roman"/>
          <w:b/>
        </w:rPr>
        <w:t>5</w:t>
      </w:r>
      <w:r>
        <w:rPr>
          <w:rFonts w:ascii="Times New Roman" w:hAnsi="Times New Roman"/>
        </w:rPr>
        <w:t xml:space="preserve"> for </w:t>
      </w:r>
      <w:r w:rsidR="00EC6DF9">
        <w:rPr>
          <w:rFonts w:ascii="Times New Roman" w:hAnsi="Times New Roman"/>
        </w:rPr>
        <w:t xml:space="preserve">an example of the </w:t>
      </w:r>
      <w:r>
        <w:rPr>
          <w:rFonts w:ascii="Times New Roman" w:hAnsi="Times New Roman"/>
        </w:rPr>
        <w:t>comparative year statement</w:t>
      </w:r>
      <w:r w:rsidR="00EC6DF9">
        <w:rPr>
          <w:rFonts w:ascii="Times New Roman" w:hAnsi="Times New Roman"/>
        </w:rPr>
        <w:t xml:space="preserve"> adjustment.</w:t>
      </w:r>
    </w:p>
    <w:p w:rsidR="0015732E" w:rsidRDefault="0015732E" w:rsidP="00034D93">
      <w:pPr>
        <w:rPr>
          <w:rFonts w:ascii="Times New Roman" w:hAnsi="Times New Roman"/>
        </w:rPr>
      </w:pPr>
    </w:p>
    <w:p w:rsidR="00034D93" w:rsidRPr="0015732E" w:rsidRDefault="0015732E" w:rsidP="001D7DCC">
      <w:pPr>
        <w:rPr>
          <w:rFonts w:ascii="Times New Roman" w:hAnsi="Times New Roman"/>
          <w:b/>
        </w:rPr>
      </w:pPr>
      <w:r w:rsidRPr="0015732E">
        <w:rPr>
          <w:rFonts w:ascii="Times New Roman" w:hAnsi="Times New Roman"/>
          <w:b/>
        </w:rPr>
        <w:t>Distinction between asset groups and discontinued operations</w:t>
      </w:r>
    </w:p>
    <w:p w:rsidR="0015732E" w:rsidRDefault="0015732E" w:rsidP="001D7DCC">
      <w:pPr>
        <w:rPr>
          <w:rFonts w:ascii="Times New Roman" w:hAnsi="Times New Roman"/>
        </w:rPr>
      </w:pPr>
      <w:r>
        <w:rPr>
          <w:rFonts w:ascii="Times New Roman" w:hAnsi="Times New Roman"/>
        </w:rPr>
        <w:t>The major difference is that both the gains and losses from disposals as well as operating profit are loss are segregated and reported below earnings from continuing operations.</w:t>
      </w:r>
    </w:p>
    <w:p w:rsidR="0015732E" w:rsidRDefault="0015732E" w:rsidP="001D7DCC">
      <w:pPr>
        <w:rPr>
          <w:rFonts w:ascii="Times New Roman" w:hAnsi="Times New Roman"/>
        </w:rPr>
      </w:pPr>
    </w:p>
    <w:p w:rsidR="0015732E" w:rsidRDefault="0015732E" w:rsidP="001D7DCC">
      <w:pPr>
        <w:rPr>
          <w:rFonts w:ascii="Times New Roman" w:hAnsi="Times New Roman"/>
        </w:rPr>
      </w:pPr>
      <w:r>
        <w:rPr>
          <w:rFonts w:ascii="Times New Roman" w:hAnsi="Times New Roman"/>
        </w:rPr>
        <w:t xml:space="preserve">See </w:t>
      </w:r>
      <w:r w:rsidRPr="0015732E">
        <w:rPr>
          <w:rFonts w:ascii="Times New Roman" w:hAnsi="Times New Roman"/>
          <w:b/>
        </w:rPr>
        <w:t>Exhibit 3-</w:t>
      </w:r>
      <w:r w:rsidR="0058696C">
        <w:rPr>
          <w:rFonts w:ascii="Times New Roman" w:hAnsi="Times New Roman"/>
          <w:b/>
        </w:rPr>
        <w:t>5</w:t>
      </w:r>
      <w:r>
        <w:rPr>
          <w:rFonts w:ascii="Times New Roman" w:hAnsi="Times New Roman"/>
        </w:rPr>
        <w:t xml:space="preserve"> for a </w:t>
      </w:r>
      <w:r w:rsidR="00094F80">
        <w:rPr>
          <w:rFonts w:ascii="Times New Roman" w:hAnsi="Times New Roman"/>
        </w:rPr>
        <w:t xml:space="preserve">discontinued operations </w:t>
      </w:r>
      <w:r>
        <w:rPr>
          <w:rFonts w:ascii="Times New Roman" w:hAnsi="Times New Roman"/>
        </w:rPr>
        <w:t>disclosure example</w:t>
      </w:r>
    </w:p>
    <w:p w:rsidR="00E73EE3" w:rsidRDefault="00E73EE3" w:rsidP="001D7DCC">
      <w:pPr>
        <w:rPr>
          <w:rFonts w:ascii="Times New Roman" w:hAnsi="Times New Roman"/>
        </w:rPr>
      </w:pPr>
    </w:p>
    <w:p w:rsidR="00FD27ED" w:rsidRDefault="008A6622" w:rsidP="001D7DCC">
      <w:pPr>
        <w:rPr>
          <w:rFonts w:ascii="Times New Roman" w:hAnsi="Times New Roman"/>
        </w:rPr>
      </w:pPr>
      <w:r w:rsidRPr="00206ADC">
        <w:rPr>
          <w:rFonts w:ascii="Times New Roman" w:hAnsi="Times New Roman"/>
          <w:b/>
        </w:rPr>
        <w:t>Restructuring</w:t>
      </w:r>
      <w:r>
        <w:rPr>
          <w:rFonts w:ascii="Times New Roman" w:hAnsi="Times New Roman"/>
        </w:rPr>
        <w:t xml:space="preserve"> is fairly common in most lines of business. Costs include relocation costs, retooling costs, training costs and employee severance pay.  </w:t>
      </w:r>
      <w:r w:rsidR="00720506">
        <w:rPr>
          <w:rFonts w:ascii="Times New Roman" w:hAnsi="Times New Roman"/>
        </w:rPr>
        <w:t>A particularly important aspect of most reorganizations involves the employees.</w:t>
      </w:r>
    </w:p>
    <w:p w:rsidR="00720506" w:rsidRDefault="00720506" w:rsidP="001D7DCC">
      <w:pPr>
        <w:rPr>
          <w:rFonts w:ascii="Times New Roman" w:hAnsi="Times New Roman"/>
        </w:rPr>
      </w:pPr>
    </w:p>
    <w:p w:rsidR="00FD27ED" w:rsidRPr="00FD27ED" w:rsidRDefault="00FD27ED" w:rsidP="001D7DCC">
      <w:pPr>
        <w:rPr>
          <w:rFonts w:ascii="Times New Roman" w:hAnsi="Times New Roman"/>
          <w:b/>
        </w:rPr>
      </w:pPr>
      <w:r w:rsidRPr="00FD27ED">
        <w:rPr>
          <w:rFonts w:ascii="Times New Roman" w:hAnsi="Times New Roman"/>
          <w:b/>
        </w:rPr>
        <w:t>Definition of a Restructuring Plan</w:t>
      </w:r>
    </w:p>
    <w:p w:rsidR="00FD27ED" w:rsidRDefault="00FD27ED" w:rsidP="001D7DCC">
      <w:pPr>
        <w:rPr>
          <w:rFonts w:ascii="Times New Roman" w:hAnsi="Times New Roman"/>
        </w:rPr>
      </w:pPr>
      <w:r w:rsidRPr="00FD27ED">
        <w:rPr>
          <w:rFonts w:ascii="Times New Roman" w:hAnsi="Times New Roman"/>
          <w:b/>
        </w:rPr>
        <w:t xml:space="preserve">IAS37 </w:t>
      </w:r>
      <w:r>
        <w:rPr>
          <w:rFonts w:ascii="Times New Roman" w:hAnsi="Times New Roman"/>
        </w:rPr>
        <w:t>defines it as having two characteristics:</w:t>
      </w:r>
    </w:p>
    <w:p w:rsidR="00FD27ED" w:rsidRDefault="00FD27ED" w:rsidP="00FD27ED">
      <w:pPr>
        <w:numPr>
          <w:ilvl w:val="0"/>
          <w:numId w:val="25"/>
        </w:numPr>
        <w:rPr>
          <w:rFonts w:ascii="Times New Roman" w:hAnsi="Times New Roman"/>
        </w:rPr>
      </w:pPr>
      <w:r>
        <w:rPr>
          <w:rFonts w:ascii="Times New Roman" w:hAnsi="Times New Roman"/>
        </w:rPr>
        <w:t xml:space="preserve"> The program must be planned and controlled by management and</w:t>
      </w:r>
    </w:p>
    <w:p w:rsidR="00FD27ED" w:rsidRDefault="00FD27ED" w:rsidP="00FD27ED">
      <w:pPr>
        <w:numPr>
          <w:ilvl w:val="0"/>
          <w:numId w:val="25"/>
        </w:numPr>
        <w:rPr>
          <w:rFonts w:ascii="Times New Roman" w:hAnsi="Times New Roman"/>
        </w:rPr>
      </w:pPr>
      <w:r>
        <w:rPr>
          <w:rFonts w:ascii="Times New Roman" w:hAnsi="Times New Roman"/>
        </w:rPr>
        <w:t>The program must significantly alter either or both of:</w:t>
      </w:r>
    </w:p>
    <w:p w:rsidR="00FD27ED" w:rsidRDefault="00FD27ED" w:rsidP="00FD27ED">
      <w:pPr>
        <w:numPr>
          <w:ilvl w:val="0"/>
          <w:numId w:val="27"/>
        </w:numPr>
        <w:rPr>
          <w:rFonts w:ascii="Times New Roman" w:hAnsi="Times New Roman"/>
        </w:rPr>
      </w:pPr>
      <w:r>
        <w:rPr>
          <w:rFonts w:ascii="Times New Roman" w:hAnsi="Times New Roman"/>
        </w:rPr>
        <w:t xml:space="preserve"> The manner in which the business is conducted, and/or</w:t>
      </w:r>
    </w:p>
    <w:p w:rsidR="00FD27ED" w:rsidRDefault="00FD27ED" w:rsidP="00FD27ED">
      <w:pPr>
        <w:numPr>
          <w:ilvl w:val="0"/>
          <w:numId w:val="27"/>
        </w:numPr>
        <w:rPr>
          <w:rFonts w:ascii="Times New Roman" w:hAnsi="Times New Roman"/>
        </w:rPr>
      </w:pPr>
      <w:r>
        <w:rPr>
          <w:rFonts w:ascii="Times New Roman" w:hAnsi="Times New Roman"/>
        </w:rPr>
        <w:t>The scope of business in which the company is engaged.</w:t>
      </w:r>
    </w:p>
    <w:p w:rsidR="005F1BC3" w:rsidRDefault="005F1BC3" w:rsidP="00FD27ED">
      <w:pPr>
        <w:rPr>
          <w:rFonts w:ascii="Times New Roman" w:hAnsi="Times New Roman"/>
        </w:rPr>
      </w:pPr>
    </w:p>
    <w:p w:rsidR="00FD27ED" w:rsidRDefault="005F1BC3" w:rsidP="00FD27ED">
      <w:pPr>
        <w:rPr>
          <w:rFonts w:ascii="Times New Roman" w:hAnsi="Times New Roman"/>
        </w:rPr>
      </w:pPr>
      <w:r>
        <w:rPr>
          <w:rFonts w:ascii="Times New Roman" w:hAnsi="Times New Roman"/>
        </w:rPr>
        <w:t xml:space="preserve">Only major alterations in an entity’s operations may be reported as restructurings under IFRS. </w:t>
      </w:r>
      <w:r w:rsidR="00FD27ED">
        <w:rPr>
          <w:rFonts w:ascii="Times New Roman" w:hAnsi="Times New Roman"/>
        </w:rPr>
        <w:t>Costs to be recognized must be direct expenditures arising from the restructuring plan and not related to continuing activities of the c</w:t>
      </w:r>
      <w:r w:rsidR="00094F80">
        <w:rPr>
          <w:rFonts w:ascii="Times New Roman" w:hAnsi="Times New Roman"/>
        </w:rPr>
        <w:t xml:space="preserve">ompany.  The future costs of a </w:t>
      </w:r>
      <w:r w:rsidR="00FD27ED">
        <w:rPr>
          <w:rFonts w:ascii="Times New Roman" w:hAnsi="Times New Roman"/>
        </w:rPr>
        <w:t xml:space="preserve">formal restructuring plan can be recognized in the financial statements only if the future expenditures are a </w:t>
      </w:r>
      <w:r w:rsidR="00FD27ED" w:rsidRPr="00FD27ED">
        <w:rPr>
          <w:rFonts w:ascii="Times New Roman" w:hAnsi="Times New Roman"/>
          <w:i/>
        </w:rPr>
        <w:t>constructive obligation</w:t>
      </w:r>
      <w:r w:rsidR="00FD27ED">
        <w:rPr>
          <w:rFonts w:ascii="Times New Roman" w:hAnsi="Times New Roman"/>
        </w:rPr>
        <w:t>.</w:t>
      </w:r>
    </w:p>
    <w:p w:rsidR="00FD27ED" w:rsidRDefault="00FD27ED" w:rsidP="00FD27ED">
      <w:pPr>
        <w:rPr>
          <w:rFonts w:ascii="Times New Roman" w:hAnsi="Times New Roman"/>
        </w:rPr>
      </w:pPr>
    </w:p>
    <w:p w:rsidR="00FD27ED" w:rsidRDefault="00FD27ED" w:rsidP="00FD27ED">
      <w:pPr>
        <w:rPr>
          <w:rFonts w:ascii="Times New Roman" w:hAnsi="Times New Roman"/>
        </w:rPr>
      </w:pPr>
      <w:r w:rsidRPr="00206ADC">
        <w:rPr>
          <w:rFonts w:ascii="Times New Roman" w:hAnsi="Times New Roman"/>
          <w:b/>
        </w:rPr>
        <w:t>Definition of a Constructive Obligation</w:t>
      </w:r>
      <w:r>
        <w:rPr>
          <w:rFonts w:ascii="Times New Roman" w:hAnsi="Times New Roman"/>
        </w:rPr>
        <w:t xml:space="preserve">  It is a </w:t>
      </w:r>
      <w:r w:rsidR="00EE006F" w:rsidRPr="00EE006F">
        <w:rPr>
          <w:rFonts w:ascii="Times New Roman" w:hAnsi="Times New Roman"/>
        </w:rPr>
        <w:t>is a liability of uncertain timing and amount that will arise in the future as a result of an entity’s present or past practices and actions</w:t>
      </w:r>
      <w:r>
        <w:rPr>
          <w:rFonts w:ascii="Times New Roman" w:hAnsi="Times New Roman"/>
        </w:rPr>
        <w:t>.  The company must have publicly communicated the plan and taken specific actions to implement the plan.</w:t>
      </w:r>
      <w:r w:rsidR="00FF3D62">
        <w:rPr>
          <w:rFonts w:ascii="Times New Roman" w:hAnsi="Times New Roman"/>
        </w:rPr>
        <w:t xml:space="preserve"> Without the guidance of accounting standards, a company could set up a provision for future costs.</w:t>
      </w:r>
    </w:p>
    <w:p w:rsidR="00FD27ED" w:rsidRDefault="00FD27ED" w:rsidP="00FD27ED">
      <w:pPr>
        <w:rPr>
          <w:rFonts w:ascii="Times New Roman" w:hAnsi="Times New Roman"/>
        </w:rPr>
      </w:pPr>
    </w:p>
    <w:p w:rsidR="00FD27ED" w:rsidRDefault="00FD27ED" w:rsidP="00FD27ED">
      <w:pPr>
        <w:rPr>
          <w:rFonts w:ascii="Times New Roman" w:hAnsi="Times New Roman"/>
        </w:rPr>
      </w:pPr>
      <w:r>
        <w:rPr>
          <w:rFonts w:ascii="Times New Roman" w:hAnsi="Times New Roman"/>
        </w:rPr>
        <w:t xml:space="preserve">See </w:t>
      </w:r>
      <w:r w:rsidRPr="00206ADC">
        <w:rPr>
          <w:rFonts w:ascii="Times New Roman" w:hAnsi="Times New Roman"/>
          <w:b/>
        </w:rPr>
        <w:t>Exhibit 3-</w:t>
      </w:r>
      <w:r w:rsidR="00965BE6">
        <w:rPr>
          <w:rFonts w:ascii="Times New Roman" w:hAnsi="Times New Roman"/>
          <w:b/>
        </w:rPr>
        <w:t>6</w:t>
      </w:r>
      <w:r>
        <w:rPr>
          <w:rFonts w:ascii="Times New Roman" w:hAnsi="Times New Roman"/>
        </w:rPr>
        <w:t>, a flow chart for deciding when restructuring costs can be recognized.  Otherwise, a company can only disclose the restructuring in the notes to the financial statements.</w:t>
      </w:r>
    </w:p>
    <w:p w:rsidR="00FD27ED" w:rsidRDefault="00FD27ED" w:rsidP="00FD27ED">
      <w:pPr>
        <w:rPr>
          <w:rFonts w:ascii="Times New Roman" w:hAnsi="Times New Roman"/>
        </w:rPr>
      </w:pPr>
    </w:p>
    <w:p w:rsidR="00FD27ED" w:rsidRDefault="00FD27ED" w:rsidP="00FD27ED">
      <w:pPr>
        <w:rPr>
          <w:rFonts w:ascii="Times New Roman" w:hAnsi="Times New Roman"/>
        </w:rPr>
      </w:pPr>
      <w:r>
        <w:rPr>
          <w:rFonts w:ascii="Times New Roman" w:hAnsi="Times New Roman"/>
        </w:rPr>
        <w:t xml:space="preserve">A </w:t>
      </w:r>
      <w:r w:rsidRPr="00FA00F1">
        <w:rPr>
          <w:rFonts w:ascii="Times New Roman" w:hAnsi="Times New Roman"/>
          <w:b/>
        </w:rPr>
        <w:t>provision</w:t>
      </w:r>
      <w:r>
        <w:rPr>
          <w:rFonts w:ascii="Times New Roman" w:hAnsi="Times New Roman"/>
        </w:rPr>
        <w:t xml:space="preserve"> for restructuring  costs is a reliably estimated liability for a probable cost that will arise due to a past action.  Both newly-estimated costs and revisions of previously recognized costs will show up in the income statements throughout the years  of restructuring, as well as in later years as payments are actually made (e.g. for retraining).</w:t>
      </w:r>
    </w:p>
    <w:p w:rsidR="00EE006F" w:rsidRDefault="00EE006F" w:rsidP="00FD27ED">
      <w:pPr>
        <w:rPr>
          <w:rFonts w:ascii="Times New Roman" w:hAnsi="Times New Roman"/>
        </w:rPr>
      </w:pPr>
    </w:p>
    <w:p w:rsidR="00FD27ED" w:rsidRDefault="00720C74" w:rsidP="00FD27ED">
      <w:pPr>
        <w:rPr>
          <w:rFonts w:ascii="Times New Roman" w:hAnsi="Times New Roman"/>
        </w:rPr>
      </w:pPr>
      <w:r>
        <w:rPr>
          <w:rFonts w:ascii="Times New Roman" w:hAnsi="Times New Roman"/>
        </w:rPr>
        <w:t xml:space="preserve">These costs are an expense under </w:t>
      </w:r>
      <w:r w:rsidRPr="00720C74">
        <w:rPr>
          <w:rFonts w:ascii="Times New Roman" w:hAnsi="Times New Roman"/>
          <w:i/>
        </w:rPr>
        <w:t>continuing operations</w:t>
      </w:r>
      <w:r>
        <w:rPr>
          <w:rFonts w:ascii="Times New Roman" w:hAnsi="Times New Roman"/>
        </w:rPr>
        <w:t xml:space="preserve"> in the profit or loss section of the statement of comprehensive income.  The only exception is if the plan includes the discontinuance of a major segment of the business.  Then, only the discontinued operation will be reported </w:t>
      </w:r>
      <w:r w:rsidRPr="00720C74">
        <w:rPr>
          <w:rFonts w:ascii="Times New Roman" w:hAnsi="Times New Roman"/>
          <w:i/>
        </w:rPr>
        <w:t>below</w:t>
      </w:r>
      <w:r>
        <w:rPr>
          <w:rFonts w:ascii="Times New Roman" w:hAnsi="Times New Roman"/>
        </w:rPr>
        <w:t xml:space="preserve"> the line while other restructuring costs will be reported as expenses </w:t>
      </w:r>
      <w:r w:rsidRPr="00720C74">
        <w:rPr>
          <w:rFonts w:ascii="Times New Roman" w:hAnsi="Times New Roman"/>
          <w:i/>
        </w:rPr>
        <w:t xml:space="preserve">above </w:t>
      </w:r>
      <w:r>
        <w:rPr>
          <w:rFonts w:ascii="Times New Roman" w:hAnsi="Times New Roman"/>
        </w:rPr>
        <w:t>the line.</w:t>
      </w:r>
      <w:r w:rsidR="00FD27ED">
        <w:rPr>
          <w:rFonts w:ascii="Times New Roman" w:hAnsi="Times New Roman"/>
        </w:rPr>
        <w:t xml:space="preserve"> </w:t>
      </w:r>
    </w:p>
    <w:p w:rsidR="00720C74" w:rsidRDefault="00720C74" w:rsidP="00FD27ED">
      <w:pPr>
        <w:rPr>
          <w:rFonts w:ascii="Times New Roman" w:hAnsi="Times New Roman"/>
        </w:rPr>
      </w:pPr>
    </w:p>
    <w:p w:rsidR="00720C74" w:rsidRDefault="00720C74" w:rsidP="00FD27ED">
      <w:pPr>
        <w:rPr>
          <w:rFonts w:ascii="Times New Roman" w:hAnsi="Times New Roman"/>
        </w:rPr>
      </w:pPr>
      <w:r w:rsidRPr="00206ADC">
        <w:rPr>
          <w:rFonts w:ascii="Times New Roman" w:hAnsi="Times New Roman"/>
          <w:b/>
        </w:rPr>
        <w:t>Exhibit 3-</w:t>
      </w:r>
      <w:r w:rsidR="00FA00F1">
        <w:rPr>
          <w:rFonts w:ascii="Times New Roman" w:hAnsi="Times New Roman"/>
          <w:b/>
        </w:rPr>
        <w:t>7</w:t>
      </w:r>
      <w:r>
        <w:rPr>
          <w:rFonts w:ascii="Times New Roman" w:hAnsi="Times New Roman"/>
        </w:rPr>
        <w:t xml:space="preserve"> in the text shows a disclosure example</w:t>
      </w:r>
    </w:p>
    <w:p w:rsidR="008A6622" w:rsidRDefault="00750E10" w:rsidP="001D7DCC">
      <w:pPr>
        <w:rPr>
          <w:rFonts w:ascii="Times New Roman" w:hAnsi="Times New Roman"/>
        </w:rPr>
      </w:pPr>
      <w:r>
        <w:rPr>
          <w:rFonts w:ascii="Times New Roman" w:hAnsi="Times New Roman"/>
          <w:i/>
          <w:noProof/>
          <w:u w:val="single"/>
          <w:lang w:val="en-CA" w:eastAsia="en-CA"/>
        </w:rPr>
        <mc:AlternateContent>
          <mc:Choice Requires="wps">
            <w:drawing>
              <wp:anchor distT="0" distB="0" distL="114300" distR="114300" simplePos="0" relativeHeight="251659776" behindDoc="0" locked="0" layoutInCell="1" allowOverlap="1" wp14:anchorId="305E8E15" wp14:editId="367D9146">
                <wp:simplePos x="0" y="0"/>
                <wp:positionH relativeFrom="column">
                  <wp:posOffset>-932815</wp:posOffset>
                </wp:positionH>
                <wp:positionV relativeFrom="paragraph">
                  <wp:posOffset>190129</wp:posOffset>
                </wp:positionV>
                <wp:extent cx="836295" cy="401955"/>
                <wp:effectExtent l="0" t="0" r="20955" b="17145"/>
                <wp:wrapNone/>
                <wp:docPr id="2" name="Auto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836295" cy="401955"/>
                        </a:xfrm>
                        <a:prstGeom prst="flowChartTerminator">
                          <a:avLst/>
                        </a:prstGeom>
                        <a:solidFill>
                          <a:srgbClr val="000000"/>
                        </a:solidFill>
                        <a:ln w="9525">
                          <a:solidFill>
                            <a:srgbClr val="000000"/>
                          </a:solidFill>
                          <a:miter lim="800000"/>
                          <a:headEnd/>
                          <a:tailEnd/>
                        </a:ln>
                      </wps:spPr>
                      <wps:txbx>
                        <w:txbxContent>
                          <w:p w:rsidR="00750E10" w:rsidRDefault="00750E10" w:rsidP="00750E10">
                            <w:pPr>
                              <w:spacing w:after="120"/>
                              <w:jc w:val="center"/>
                              <w:rPr>
                                <w:b/>
                                <w:color w:val="FFFFFF"/>
                                <w:sz w:val="32"/>
                              </w:rPr>
                            </w:pPr>
                            <w:r>
                              <w:rPr>
                                <w:b/>
                                <w:color w:val="FFFFFF"/>
                                <w:sz w:val="32"/>
                              </w:rPr>
                              <w:t>ASPE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5E8E15" id="_x0000_t116" coordsize="21600,21600" o:spt="116" path="m3475,qx,10800,3475,21600l18125,21600qx21600,10800,18125,xe">
                <v:stroke joinstyle="miter"/>
                <v:path gradientshapeok="t" o:connecttype="rect" textboxrect="1018,3163,20582,18437"/>
              </v:shapetype>
              <v:shape id="AutoShape 40" o:spid="_x0000_s1027" type="#_x0000_t116" style="position:absolute;margin-left:-73.45pt;margin-top:14.95pt;width:65.85pt;height:31.65pt;flip:y;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q3lKQIAAFcEAAAOAAAAZHJzL2Uyb0RvYy54bWysVE1v2zAMvQ/YfxB0X5xkTdEYcYoiXYcB&#10;3Vqg3e6KLMfCJFGjlNjZrx8l56PdLsMwHwTqg4+Pj6QX1701bKcwaHAVn4zGnCknodZuU/Gvz3fv&#10;rjgLUbhaGHCq4nsV+PXy7ZtF50s1hRZMrZARiAtl5yvexujLogiyVVaEEXjl6LIBtCLSFjdFjaIj&#10;dGuK6Xh8WXSAtUeQKgQ6vR0u+TLjN42S8aFpgorMVJy4xbxiXtdpLZYLUW5Q+FbLAw3xDyys0I6C&#10;nqBuRRRsi/oPKKslQoAmjiTYAppGS5VzoGwm49+yeWqFVzkXEif4k0zh/8HKL7tHZLqu+JQzJyyV&#10;6GYbIUdmF1mfzoeSnj35R0wZBn8P8ntgDlatcBt1gwhdq0RNrCZJz+KVQ9oEcmXr7jPUBC8IPkvV&#10;N2hZY7T/lhwTNMnB+lyb/ak2qo9M0uHV+8vpfMaZpKuL8WQ+m+VYokwwydljiB8VWJaMijcGOiKI&#10;8Vmh1U5EwBxD7O5DTCzPHjkrMLq+08bkDW7WK4NsJ1LX5O8QLLx8ZhzrKj6fTWcZ+dVd+DsIqyO1&#10;v9GWEjzFEWWS84Orc3NGoc1gE2XjDvomSVOThzL26z4XMIufTtZQ70lwhKHbaTrJaAF/ctZRp1c8&#10;/NgKVJyZT46KlsbiaODRWB8N4SS5VjxyNpirOIzP1qPetIQ81M5B6ptGZ23PLA50qXuz5IdJS+Px&#10;cp9fnf8Hy18AAAD//wMAUEsDBBQABgAIAAAAIQDZDL/G4AAAAAoBAAAPAAAAZHJzL2Rvd25yZXYu&#10;eG1sTI/RSsMwFIbvBd8hHMEb6dJWLbZrOoYgA4XBqg+QNVkb1pyUJOvq23u80qvD4Xz85/vrzWJH&#10;NmsfjEMB2SoFprFzymAv4OvzLXkBFqJEJUeHWsC3DrBpbm9qWSl3xYOe29gzCsFQSQFDjFPFeegG&#10;bWVYuUkj3U7OWxlp9T1XXl4p3I48T9OCW2mQPgxy0q+D7s7txQp492ZnH6I5BbkrtsV0aOf9RyvE&#10;/d2yXQOLeol/MPzqkzo05HR0F1SBjQKS7KkoiRWQlzSJSLLnHNhRQPmYA29q/r9C8wMAAP//AwBQ&#10;SwECLQAUAAYACAAAACEAtoM4kv4AAADhAQAAEwAAAAAAAAAAAAAAAAAAAAAAW0NvbnRlbnRfVHlw&#10;ZXNdLnhtbFBLAQItABQABgAIAAAAIQA4/SH/1gAAAJQBAAALAAAAAAAAAAAAAAAAAC8BAABfcmVs&#10;cy8ucmVsc1BLAQItABQABgAIAAAAIQAXRq3lKQIAAFcEAAAOAAAAAAAAAAAAAAAAAC4CAABkcnMv&#10;ZTJvRG9jLnhtbFBLAQItABQABgAIAAAAIQDZDL/G4AAAAAoBAAAPAAAAAAAAAAAAAAAAAIMEAABk&#10;cnMvZG93bnJldi54bWxQSwUGAAAAAAQABADzAAAAkAUAAAAA&#10;" fillcolor="black">
                <v:textbox inset="0,0,0,0">
                  <w:txbxContent>
                    <w:p w:rsidR="00750E10" w:rsidRDefault="00750E10" w:rsidP="00750E10">
                      <w:pPr>
                        <w:spacing w:after="120"/>
                        <w:jc w:val="center"/>
                        <w:rPr>
                          <w:b/>
                          <w:color w:val="FFFFFF"/>
                          <w:sz w:val="32"/>
                        </w:rPr>
                      </w:pPr>
                      <w:r>
                        <w:rPr>
                          <w:b/>
                          <w:color w:val="FFFFFF"/>
                          <w:sz w:val="32"/>
                        </w:rPr>
                        <w:t>ASPE</w:t>
                      </w:r>
                    </w:p>
                  </w:txbxContent>
                </v:textbox>
              </v:shape>
            </w:pict>
          </mc:Fallback>
        </mc:AlternateContent>
      </w:r>
    </w:p>
    <w:p w:rsidR="00D75B8F" w:rsidRPr="00EE006F" w:rsidRDefault="00D75B8F" w:rsidP="00750E10">
      <w:pPr>
        <w:numPr>
          <w:ilvl w:val="0"/>
          <w:numId w:val="36"/>
        </w:numPr>
        <w:pBdr>
          <w:top w:val="dotted" w:sz="4" w:space="1" w:color="auto"/>
          <w:left w:val="dotted" w:sz="4" w:space="4" w:color="auto"/>
          <w:bottom w:val="dotted" w:sz="4" w:space="1" w:color="auto"/>
          <w:right w:val="dotted" w:sz="4" w:space="4" w:color="auto"/>
        </w:pBdr>
        <w:shd w:val="clear" w:color="auto" w:fill="E2EFD9" w:themeFill="accent6" w:themeFillTint="33"/>
        <w:rPr>
          <w:rFonts w:ascii="Times New Roman" w:hAnsi="Times New Roman"/>
          <w:b/>
        </w:rPr>
      </w:pPr>
      <w:r w:rsidRPr="00EE006F">
        <w:rPr>
          <w:rFonts w:ascii="Times New Roman" w:hAnsi="Times New Roman"/>
          <w:b/>
        </w:rPr>
        <w:t>ACCOUNTING STANDARDS FOR PRIVATE ENTERPRISES</w:t>
      </w:r>
    </w:p>
    <w:p w:rsidR="006838A4" w:rsidRDefault="006838A4" w:rsidP="00750E10">
      <w:pPr>
        <w:pBdr>
          <w:top w:val="dotted" w:sz="4" w:space="1" w:color="auto"/>
          <w:left w:val="dotted" w:sz="4" w:space="4" w:color="auto"/>
          <w:bottom w:val="dotted" w:sz="4" w:space="1" w:color="auto"/>
          <w:right w:val="dotted" w:sz="4" w:space="4" w:color="auto"/>
        </w:pBdr>
        <w:shd w:val="clear" w:color="auto" w:fill="E2EFD9" w:themeFill="accent6" w:themeFillTint="33"/>
        <w:rPr>
          <w:rFonts w:ascii="Times New Roman" w:hAnsi="Times New Roman"/>
          <w:b/>
        </w:rPr>
      </w:pPr>
    </w:p>
    <w:p w:rsidR="00D75B8F" w:rsidRPr="00EC12D8" w:rsidRDefault="00D75B8F" w:rsidP="00750E10">
      <w:pPr>
        <w:pBdr>
          <w:top w:val="dotted" w:sz="4" w:space="1" w:color="auto"/>
          <w:left w:val="dotted" w:sz="4" w:space="4" w:color="auto"/>
          <w:bottom w:val="dotted" w:sz="4" w:space="1" w:color="auto"/>
          <w:right w:val="dotted" w:sz="4" w:space="4" w:color="auto"/>
        </w:pBdr>
        <w:shd w:val="clear" w:color="auto" w:fill="E2EFD9" w:themeFill="accent6" w:themeFillTint="33"/>
        <w:rPr>
          <w:rFonts w:ascii="Times New Roman" w:hAnsi="Times New Roman"/>
          <w:b/>
        </w:rPr>
      </w:pPr>
      <w:r w:rsidRPr="00EC12D8">
        <w:rPr>
          <w:rFonts w:ascii="Times New Roman" w:hAnsi="Times New Roman"/>
          <w:b/>
        </w:rPr>
        <w:t>Comprehensive Income</w:t>
      </w:r>
    </w:p>
    <w:p w:rsidR="00CB4881" w:rsidRDefault="00D75B8F" w:rsidP="00750E10">
      <w:pPr>
        <w:pBdr>
          <w:top w:val="dotted" w:sz="4" w:space="1" w:color="auto"/>
          <w:left w:val="dotted" w:sz="4" w:space="4" w:color="auto"/>
          <w:bottom w:val="dotted" w:sz="4" w:space="1" w:color="auto"/>
          <w:right w:val="dotted" w:sz="4" w:space="4" w:color="auto"/>
        </w:pBdr>
        <w:shd w:val="clear" w:color="auto" w:fill="E2EFD9" w:themeFill="accent6" w:themeFillTint="33"/>
        <w:rPr>
          <w:rFonts w:ascii="Times New Roman" w:hAnsi="Times New Roman"/>
        </w:rPr>
      </w:pPr>
      <w:r w:rsidRPr="00D75B8F">
        <w:rPr>
          <w:rFonts w:ascii="Times New Roman" w:hAnsi="Times New Roman"/>
        </w:rPr>
        <w:t xml:space="preserve">There is </w:t>
      </w:r>
      <w:r w:rsidR="00EE006F">
        <w:rPr>
          <w:rFonts w:ascii="Times New Roman" w:hAnsi="Times New Roman"/>
        </w:rPr>
        <w:t>no</w:t>
      </w:r>
      <w:r>
        <w:rPr>
          <w:rFonts w:ascii="Times New Roman" w:hAnsi="Times New Roman"/>
        </w:rPr>
        <w:t xml:space="preserve"> statement of comprehensive income in Canadian ASPE, </w:t>
      </w:r>
      <w:r w:rsidR="00EE006F">
        <w:rPr>
          <w:rFonts w:ascii="Times New Roman" w:hAnsi="Times New Roman"/>
        </w:rPr>
        <w:t xml:space="preserve">therefore, </w:t>
      </w:r>
      <w:r>
        <w:rPr>
          <w:rFonts w:ascii="Times New Roman" w:hAnsi="Times New Roman"/>
        </w:rPr>
        <w:t xml:space="preserve">only the income statement should be provided.  </w:t>
      </w:r>
      <w:r w:rsidR="00EE006F">
        <w:rPr>
          <w:rFonts w:ascii="Times New Roman" w:hAnsi="Times New Roman"/>
        </w:rPr>
        <w:t>However, some specific adjustments under ASPE are worthy to note.</w:t>
      </w:r>
    </w:p>
    <w:p w:rsidR="00CB4881" w:rsidRPr="00CB4881" w:rsidRDefault="00EE006F" w:rsidP="00750E10">
      <w:pPr>
        <w:pStyle w:val="ListParagraph"/>
        <w:numPr>
          <w:ilvl w:val="0"/>
          <w:numId w:val="41"/>
        </w:numPr>
        <w:pBdr>
          <w:top w:val="dotted" w:sz="4" w:space="1" w:color="auto"/>
          <w:left w:val="dotted" w:sz="4" w:space="4" w:color="auto"/>
          <w:bottom w:val="dotted" w:sz="4" w:space="1" w:color="auto"/>
          <w:right w:val="dotted" w:sz="4" w:space="4" w:color="auto"/>
        </w:pBdr>
        <w:shd w:val="clear" w:color="auto" w:fill="E2EFD9" w:themeFill="accent6" w:themeFillTint="33"/>
        <w:rPr>
          <w:rFonts w:ascii="Times New Roman" w:hAnsi="Times New Roman"/>
        </w:rPr>
      </w:pPr>
      <w:r w:rsidRPr="00CB4881">
        <w:rPr>
          <w:rFonts w:ascii="Times New Roman" w:hAnsi="Times New Roman"/>
          <w:szCs w:val="24"/>
        </w:rPr>
        <w:t>Net income after taxes is transferred directly from the income statement to retained earnings (or via the statement of changes in retained earnings, if a separate statement is prepared);</w:t>
      </w:r>
    </w:p>
    <w:p w:rsidR="00CB4881" w:rsidRPr="00CB4881" w:rsidRDefault="00EE006F" w:rsidP="00750E10">
      <w:pPr>
        <w:pStyle w:val="ListParagraph"/>
        <w:numPr>
          <w:ilvl w:val="0"/>
          <w:numId w:val="41"/>
        </w:numPr>
        <w:pBdr>
          <w:top w:val="dotted" w:sz="4" w:space="1" w:color="auto"/>
          <w:left w:val="dotted" w:sz="4" w:space="4" w:color="auto"/>
          <w:bottom w:val="dotted" w:sz="4" w:space="1" w:color="auto"/>
          <w:right w:val="dotted" w:sz="4" w:space="4" w:color="auto"/>
        </w:pBdr>
        <w:shd w:val="clear" w:color="auto" w:fill="E2EFD9" w:themeFill="accent6" w:themeFillTint="33"/>
        <w:rPr>
          <w:rFonts w:ascii="Times New Roman" w:hAnsi="Times New Roman"/>
        </w:rPr>
      </w:pPr>
      <w:r w:rsidRPr="00CB4881">
        <w:rPr>
          <w:rFonts w:ascii="Times New Roman" w:hAnsi="Times New Roman"/>
          <w:szCs w:val="24"/>
        </w:rPr>
        <w:t>Unrealized foreign exchange translation gains or losses related to a foreign subsidiary (a component of OCI under IFRS) are reported as a separate component of shareholders’ equity; and</w:t>
      </w:r>
    </w:p>
    <w:p w:rsidR="00D75B8F" w:rsidRPr="00CB4881" w:rsidRDefault="00EE006F" w:rsidP="00750E10">
      <w:pPr>
        <w:pStyle w:val="ListParagraph"/>
        <w:numPr>
          <w:ilvl w:val="0"/>
          <w:numId w:val="41"/>
        </w:numPr>
        <w:pBdr>
          <w:top w:val="dotted" w:sz="4" w:space="1" w:color="auto"/>
          <w:left w:val="dotted" w:sz="4" w:space="4" w:color="auto"/>
          <w:bottom w:val="dotted" w:sz="4" w:space="1" w:color="auto"/>
          <w:right w:val="dotted" w:sz="4" w:space="4" w:color="auto"/>
        </w:pBdr>
        <w:shd w:val="clear" w:color="auto" w:fill="E2EFD9" w:themeFill="accent6" w:themeFillTint="33"/>
        <w:rPr>
          <w:rFonts w:ascii="Times New Roman" w:hAnsi="Times New Roman"/>
        </w:rPr>
      </w:pPr>
      <w:r w:rsidRPr="00CB4881">
        <w:rPr>
          <w:rFonts w:ascii="Times New Roman" w:hAnsi="Times New Roman"/>
          <w:szCs w:val="24"/>
        </w:rPr>
        <w:t>Any other non</w:t>
      </w:r>
      <w:r w:rsidR="00A216D0">
        <w:rPr>
          <w:rFonts w:ascii="Times New Roman" w:hAnsi="Times New Roman"/>
          <w:szCs w:val="24"/>
        </w:rPr>
        <w:t>-</w:t>
      </w:r>
      <w:r w:rsidRPr="00CB4881">
        <w:rPr>
          <w:rFonts w:ascii="Times New Roman" w:hAnsi="Times New Roman"/>
          <w:szCs w:val="24"/>
        </w:rPr>
        <w:t>earnings items that affect shareholders’ equity are reported in shareholders’ equity, as appropriate</w:t>
      </w:r>
      <w:r w:rsidRPr="00CB4881">
        <w:rPr>
          <w:rFonts w:ascii="Times New Roman" w:hAnsi="Times New Roman"/>
          <w:sz w:val="20"/>
        </w:rPr>
        <w:t>.</w:t>
      </w:r>
      <w:r w:rsidR="00A216D0">
        <w:rPr>
          <w:rFonts w:ascii="Times New Roman" w:hAnsi="Times New Roman"/>
          <w:sz w:val="20"/>
        </w:rPr>
        <w:t xml:space="preserve"> </w:t>
      </w:r>
      <w:r w:rsidR="00D75B8F" w:rsidRPr="00CB4881">
        <w:rPr>
          <w:rFonts w:ascii="Times New Roman" w:hAnsi="Times New Roman"/>
        </w:rPr>
        <w:t>Under ASPE, consolidated financial statements are not required.</w:t>
      </w:r>
    </w:p>
    <w:p w:rsidR="00D75B8F" w:rsidRDefault="00D75B8F" w:rsidP="00750E10">
      <w:pPr>
        <w:pBdr>
          <w:top w:val="dotted" w:sz="4" w:space="1" w:color="auto"/>
          <w:left w:val="dotted" w:sz="4" w:space="4" w:color="auto"/>
          <w:bottom w:val="dotted" w:sz="4" w:space="1" w:color="auto"/>
          <w:right w:val="dotted" w:sz="4" w:space="4" w:color="auto"/>
        </w:pBdr>
        <w:shd w:val="clear" w:color="auto" w:fill="E2EFD9" w:themeFill="accent6" w:themeFillTint="33"/>
        <w:rPr>
          <w:rFonts w:ascii="Times New Roman" w:hAnsi="Times New Roman"/>
        </w:rPr>
      </w:pPr>
    </w:p>
    <w:p w:rsidR="00D75B8F" w:rsidRPr="00EC12D8" w:rsidRDefault="00D75B8F" w:rsidP="00750E10">
      <w:pPr>
        <w:pBdr>
          <w:top w:val="dotted" w:sz="4" w:space="1" w:color="auto"/>
          <w:left w:val="dotted" w:sz="4" w:space="4" w:color="auto"/>
          <w:bottom w:val="dotted" w:sz="4" w:space="1" w:color="auto"/>
          <w:right w:val="dotted" w:sz="4" w:space="4" w:color="auto"/>
        </w:pBdr>
        <w:shd w:val="clear" w:color="auto" w:fill="E2EFD9" w:themeFill="accent6" w:themeFillTint="33"/>
        <w:rPr>
          <w:rFonts w:ascii="Times New Roman" w:hAnsi="Times New Roman"/>
          <w:b/>
        </w:rPr>
      </w:pPr>
      <w:r w:rsidRPr="00EC12D8">
        <w:rPr>
          <w:rFonts w:ascii="Times New Roman" w:hAnsi="Times New Roman"/>
          <w:b/>
        </w:rPr>
        <w:t>Format</w:t>
      </w:r>
    </w:p>
    <w:p w:rsidR="00D75B8F" w:rsidRDefault="00D75B8F" w:rsidP="00750E10">
      <w:pPr>
        <w:pBdr>
          <w:top w:val="dotted" w:sz="4" w:space="1" w:color="auto"/>
          <w:left w:val="dotted" w:sz="4" w:space="4" w:color="auto"/>
          <w:bottom w:val="dotted" w:sz="4" w:space="1" w:color="auto"/>
          <w:right w:val="dotted" w:sz="4" w:space="4" w:color="auto"/>
        </w:pBdr>
        <w:shd w:val="clear" w:color="auto" w:fill="E2EFD9" w:themeFill="accent6" w:themeFillTint="33"/>
        <w:rPr>
          <w:rFonts w:ascii="Times New Roman" w:hAnsi="Times New Roman"/>
        </w:rPr>
      </w:pPr>
      <w:r>
        <w:rPr>
          <w:rFonts w:ascii="Times New Roman" w:hAnsi="Times New Roman"/>
        </w:rPr>
        <w:t>A</w:t>
      </w:r>
      <w:r w:rsidR="00EC12D8">
        <w:rPr>
          <w:rFonts w:ascii="Times New Roman" w:hAnsi="Times New Roman"/>
        </w:rPr>
        <w:t>S</w:t>
      </w:r>
      <w:r>
        <w:rPr>
          <w:rFonts w:ascii="Times New Roman" w:hAnsi="Times New Roman"/>
        </w:rPr>
        <w:t xml:space="preserve">PE does not specify a </w:t>
      </w:r>
      <w:r w:rsidRPr="00206ADC">
        <w:rPr>
          <w:rFonts w:ascii="Times New Roman" w:hAnsi="Times New Roman"/>
          <w:i/>
        </w:rPr>
        <w:t>“functional”</w:t>
      </w:r>
      <w:r>
        <w:rPr>
          <w:rFonts w:ascii="Times New Roman" w:hAnsi="Times New Roman"/>
        </w:rPr>
        <w:t xml:space="preserve"> versus “</w:t>
      </w:r>
      <w:r w:rsidRPr="00EE006F">
        <w:rPr>
          <w:rFonts w:ascii="Times New Roman" w:hAnsi="Times New Roman"/>
          <w:i/>
        </w:rPr>
        <w:t>nature of expense”</w:t>
      </w:r>
      <w:r>
        <w:rPr>
          <w:rFonts w:ascii="Times New Roman" w:hAnsi="Times New Roman"/>
        </w:rPr>
        <w:t xml:space="preserve"> format.</w:t>
      </w:r>
    </w:p>
    <w:p w:rsidR="00EC12D8" w:rsidRDefault="00EC12D8" w:rsidP="00750E10">
      <w:pPr>
        <w:pBdr>
          <w:top w:val="dotted" w:sz="4" w:space="1" w:color="auto"/>
          <w:left w:val="dotted" w:sz="4" w:space="4" w:color="auto"/>
          <w:bottom w:val="dotted" w:sz="4" w:space="1" w:color="auto"/>
          <w:right w:val="dotted" w:sz="4" w:space="4" w:color="auto"/>
        </w:pBdr>
        <w:shd w:val="clear" w:color="auto" w:fill="E2EFD9" w:themeFill="accent6" w:themeFillTint="33"/>
        <w:rPr>
          <w:rFonts w:ascii="Times New Roman" w:hAnsi="Times New Roman"/>
        </w:rPr>
      </w:pPr>
      <w:r>
        <w:rPr>
          <w:rFonts w:ascii="Times New Roman" w:hAnsi="Times New Roman"/>
        </w:rPr>
        <w:t>ASPE requires just one subtotal in the statement, “income or loss before discontinued operations”.</w:t>
      </w:r>
    </w:p>
    <w:p w:rsidR="00EC12D8" w:rsidRDefault="00EC12D8" w:rsidP="00750E10">
      <w:pPr>
        <w:pBdr>
          <w:top w:val="dotted" w:sz="4" w:space="1" w:color="auto"/>
          <w:left w:val="dotted" w:sz="4" w:space="4" w:color="auto"/>
          <w:bottom w:val="dotted" w:sz="4" w:space="1" w:color="auto"/>
          <w:right w:val="dotted" w:sz="4" w:space="4" w:color="auto"/>
        </w:pBdr>
        <w:shd w:val="clear" w:color="auto" w:fill="E2EFD9" w:themeFill="accent6" w:themeFillTint="33"/>
        <w:rPr>
          <w:rFonts w:ascii="Times New Roman" w:hAnsi="Times New Roman"/>
        </w:rPr>
      </w:pPr>
      <w:r>
        <w:rPr>
          <w:rFonts w:ascii="Times New Roman" w:hAnsi="Times New Roman"/>
        </w:rPr>
        <w:t>Discontinued Operations are reported separately, similar to IFRS.</w:t>
      </w:r>
    </w:p>
    <w:p w:rsidR="00EC12D8" w:rsidRDefault="00EC12D8" w:rsidP="00750E10">
      <w:pPr>
        <w:pBdr>
          <w:top w:val="dotted" w:sz="4" w:space="1" w:color="auto"/>
          <w:left w:val="dotted" w:sz="4" w:space="4" w:color="auto"/>
          <w:bottom w:val="dotted" w:sz="4" w:space="1" w:color="auto"/>
          <w:right w:val="dotted" w:sz="4" w:space="4" w:color="auto"/>
        </w:pBdr>
        <w:shd w:val="clear" w:color="auto" w:fill="E2EFD9" w:themeFill="accent6" w:themeFillTint="33"/>
        <w:rPr>
          <w:rFonts w:ascii="Times New Roman" w:hAnsi="Times New Roman"/>
        </w:rPr>
      </w:pPr>
    </w:p>
    <w:p w:rsidR="00EC12D8" w:rsidRPr="00EC12D8" w:rsidRDefault="00EC12D8" w:rsidP="00750E10">
      <w:pPr>
        <w:pBdr>
          <w:top w:val="dotted" w:sz="4" w:space="1" w:color="auto"/>
          <w:left w:val="dotted" w:sz="4" w:space="4" w:color="auto"/>
          <w:bottom w:val="dotted" w:sz="4" w:space="1" w:color="auto"/>
          <w:right w:val="dotted" w:sz="4" w:space="4" w:color="auto"/>
        </w:pBdr>
        <w:shd w:val="clear" w:color="auto" w:fill="E2EFD9" w:themeFill="accent6" w:themeFillTint="33"/>
        <w:rPr>
          <w:rFonts w:ascii="Times New Roman" w:hAnsi="Times New Roman"/>
          <w:b/>
        </w:rPr>
      </w:pPr>
      <w:r w:rsidRPr="00EC12D8">
        <w:rPr>
          <w:rFonts w:ascii="Times New Roman" w:hAnsi="Times New Roman"/>
          <w:b/>
        </w:rPr>
        <w:t>Line Items</w:t>
      </w:r>
    </w:p>
    <w:p w:rsidR="00EC12D8" w:rsidRPr="00D75B8F" w:rsidRDefault="00EC12D8" w:rsidP="00750E10">
      <w:pPr>
        <w:pBdr>
          <w:top w:val="dotted" w:sz="4" w:space="1" w:color="auto"/>
          <w:left w:val="dotted" w:sz="4" w:space="4" w:color="auto"/>
          <w:bottom w:val="dotted" w:sz="4" w:space="1" w:color="auto"/>
          <w:right w:val="dotted" w:sz="4" w:space="4" w:color="auto"/>
        </w:pBdr>
        <w:shd w:val="clear" w:color="auto" w:fill="E2EFD9" w:themeFill="accent6" w:themeFillTint="33"/>
        <w:rPr>
          <w:rFonts w:ascii="Times New Roman" w:hAnsi="Times New Roman"/>
        </w:rPr>
      </w:pPr>
      <w:r>
        <w:rPr>
          <w:rFonts w:ascii="Times New Roman" w:hAnsi="Times New Roman"/>
        </w:rPr>
        <w:t xml:space="preserve">All line items required by IFRs are required under ASPE, except for information relating to employee expenses, </w:t>
      </w:r>
      <w:r w:rsidRPr="00EC12D8">
        <w:rPr>
          <w:rFonts w:ascii="Times New Roman" w:hAnsi="Times New Roman"/>
          <w:i/>
        </w:rPr>
        <w:t>which is not required</w:t>
      </w:r>
      <w:r>
        <w:rPr>
          <w:rFonts w:ascii="Times New Roman" w:hAnsi="Times New Roman"/>
        </w:rPr>
        <w:t>.</w:t>
      </w:r>
    </w:p>
    <w:p w:rsidR="00DE47BB" w:rsidRDefault="00C00531" w:rsidP="00750E10">
      <w:pPr>
        <w:pBdr>
          <w:top w:val="dotted" w:sz="4" w:space="1" w:color="auto"/>
          <w:left w:val="dotted" w:sz="4" w:space="4" w:color="auto"/>
          <w:bottom w:val="dotted" w:sz="4" w:space="1" w:color="auto"/>
          <w:right w:val="dotted" w:sz="4" w:space="4" w:color="auto"/>
        </w:pBdr>
        <w:shd w:val="clear" w:color="auto" w:fill="E2EFD9" w:themeFill="accent6" w:themeFillTint="33"/>
        <w:rPr>
          <w:rFonts w:ascii="Times New Roman" w:hAnsi="Times New Roman"/>
          <w:b/>
        </w:rPr>
      </w:pPr>
      <w:r>
        <w:rPr>
          <w:rFonts w:ascii="Times New Roman" w:hAnsi="Times New Roman"/>
          <w:b/>
        </w:rPr>
        <w:br w:type="page"/>
      </w:r>
      <w:r w:rsidR="00DE47BB">
        <w:rPr>
          <w:rFonts w:ascii="Times New Roman" w:hAnsi="Times New Roman"/>
          <w:b/>
        </w:rPr>
        <w:lastRenderedPageBreak/>
        <w:t>Held-for-Sale Assets</w:t>
      </w:r>
    </w:p>
    <w:p w:rsidR="00DE47BB" w:rsidRDefault="00DE47BB" w:rsidP="00750E10">
      <w:pPr>
        <w:pBdr>
          <w:top w:val="dotted" w:sz="4" w:space="1" w:color="auto"/>
          <w:left w:val="dotted" w:sz="4" w:space="4" w:color="auto"/>
          <w:bottom w:val="dotted" w:sz="4" w:space="1" w:color="auto"/>
          <w:right w:val="dotted" w:sz="4" w:space="4" w:color="auto"/>
        </w:pBdr>
        <w:shd w:val="clear" w:color="auto" w:fill="E2EFD9" w:themeFill="accent6" w:themeFillTint="33"/>
        <w:rPr>
          <w:rFonts w:ascii="Times New Roman" w:hAnsi="Times New Roman"/>
        </w:rPr>
      </w:pPr>
      <w:r w:rsidRPr="00DE47BB">
        <w:rPr>
          <w:rFonts w:ascii="Times New Roman" w:hAnsi="Times New Roman"/>
        </w:rPr>
        <w:t>IFRS classifies as current but ASPE continues to classify the assets as current or non-current, depending on their nature.</w:t>
      </w:r>
    </w:p>
    <w:p w:rsidR="00DE47BB" w:rsidRDefault="00DE47BB" w:rsidP="00750E10">
      <w:pPr>
        <w:pBdr>
          <w:top w:val="dotted" w:sz="4" w:space="1" w:color="auto"/>
          <w:left w:val="dotted" w:sz="4" w:space="4" w:color="auto"/>
          <w:bottom w:val="dotted" w:sz="4" w:space="1" w:color="auto"/>
          <w:right w:val="dotted" w:sz="4" w:space="4" w:color="auto"/>
        </w:pBdr>
        <w:shd w:val="clear" w:color="auto" w:fill="E2EFD9" w:themeFill="accent6" w:themeFillTint="33"/>
        <w:rPr>
          <w:rFonts w:ascii="Times New Roman" w:hAnsi="Times New Roman"/>
        </w:rPr>
      </w:pPr>
    </w:p>
    <w:p w:rsidR="00DE47BB" w:rsidRPr="00DE47BB" w:rsidRDefault="00DE47BB" w:rsidP="00750E10">
      <w:pPr>
        <w:pBdr>
          <w:top w:val="dotted" w:sz="4" w:space="1" w:color="auto"/>
          <w:left w:val="dotted" w:sz="4" w:space="4" w:color="auto"/>
          <w:bottom w:val="dotted" w:sz="4" w:space="1" w:color="auto"/>
          <w:right w:val="dotted" w:sz="4" w:space="4" w:color="auto"/>
        </w:pBdr>
        <w:shd w:val="clear" w:color="auto" w:fill="E2EFD9" w:themeFill="accent6" w:themeFillTint="33"/>
        <w:rPr>
          <w:rFonts w:ascii="Times New Roman" w:hAnsi="Times New Roman"/>
          <w:b/>
        </w:rPr>
      </w:pPr>
      <w:r w:rsidRPr="00DE47BB">
        <w:rPr>
          <w:rFonts w:ascii="Times New Roman" w:hAnsi="Times New Roman"/>
          <w:b/>
        </w:rPr>
        <w:t>Restructuring</w:t>
      </w:r>
    </w:p>
    <w:p w:rsidR="00DE47BB" w:rsidRDefault="00DE47BB" w:rsidP="00750E10">
      <w:pPr>
        <w:pBdr>
          <w:top w:val="dotted" w:sz="4" w:space="1" w:color="auto"/>
          <w:left w:val="dotted" w:sz="4" w:space="4" w:color="auto"/>
          <w:bottom w:val="dotted" w:sz="4" w:space="1" w:color="auto"/>
          <w:right w:val="dotted" w:sz="4" w:space="4" w:color="auto"/>
        </w:pBdr>
        <w:shd w:val="clear" w:color="auto" w:fill="E2EFD9" w:themeFill="accent6" w:themeFillTint="33"/>
        <w:rPr>
          <w:rFonts w:ascii="Times New Roman" w:hAnsi="Times New Roman"/>
        </w:rPr>
      </w:pPr>
      <w:r>
        <w:rPr>
          <w:rFonts w:ascii="Times New Roman" w:hAnsi="Times New Roman"/>
        </w:rPr>
        <w:t>ASPE does not specifically deal with it but the general concepts underlying the recognition of constructive obligations still would apply for private enterprises.</w:t>
      </w:r>
    </w:p>
    <w:p w:rsidR="00DE47BB" w:rsidRDefault="00DE47BB" w:rsidP="00750E10">
      <w:pPr>
        <w:pBdr>
          <w:top w:val="dotted" w:sz="4" w:space="1" w:color="auto"/>
          <w:left w:val="dotted" w:sz="4" w:space="4" w:color="auto"/>
          <w:bottom w:val="dotted" w:sz="4" w:space="1" w:color="auto"/>
          <w:right w:val="dotted" w:sz="4" w:space="4" w:color="auto"/>
        </w:pBdr>
        <w:shd w:val="clear" w:color="auto" w:fill="E2EFD9" w:themeFill="accent6" w:themeFillTint="33"/>
        <w:rPr>
          <w:rFonts w:ascii="Times New Roman" w:hAnsi="Times New Roman"/>
        </w:rPr>
      </w:pPr>
    </w:p>
    <w:p w:rsidR="00DE47BB" w:rsidRPr="00DE47BB" w:rsidRDefault="00DE47BB" w:rsidP="00750E10">
      <w:pPr>
        <w:pBdr>
          <w:top w:val="dotted" w:sz="4" w:space="1" w:color="auto"/>
          <w:left w:val="dotted" w:sz="4" w:space="4" w:color="auto"/>
          <w:bottom w:val="dotted" w:sz="4" w:space="1" w:color="auto"/>
          <w:right w:val="dotted" w:sz="4" w:space="4" w:color="auto"/>
        </w:pBdr>
        <w:shd w:val="clear" w:color="auto" w:fill="E2EFD9" w:themeFill="accent6" w:themeFillTint="33"/>
        <w:rPr>
          <w:rFonts w:ascii="Times New Roman" w:hAnsi="Times New Roman"/>
          <w:b/>
        </w:rPr>
      </w:pPr>
      <w:r w:rsidRPr="00DE47BB">
        <w:rPr>
          <w:rFonts w:ascii="Times New Roman" w:hAnsi="Times New Roman"/>
          <w:b/>
        </w:rPr>
        <w:t>Earnings per Share</w:t>
      </w:r>
    </w:p>
    <w:p w:rsidR="00DE47BB" w:rsidRDefault="00DE47BB" w:rsidP="00750E10">
      <w:pPr>
        <w:pBdr>
          <w:top w:val="dotted" w:sz="4" w:space="1" w:color="auto"/>
          <w:left w:val="dotted" w:sz="4" w:space="4" w:color="auto"/>
          <w:bottom w:val="dotted" w:sz="4" w:space="1" w:color="auto"/>
          <w:right w:val="dotted" w:sz="4" w:space="4" w:color="auto"/>
        </w:pBdr>
        <w:shd w:val="clear" w:color="auto" w:fill="E2EFD9" w:themeFill="accent6" w:themeFillTint="33"/>
        <w:rPr>
          <w:rFonts w:ascii="Times New Roman" w:hAnsi="Times New Roman"/>
        </w:rPr>
      </w:pPr>
      <w:r>
        <w:rPr>
          <w:rFonts w:ascii="Times New Roman" w:hAnsi="Times New Roman"/>
        </w:rPr>
        <w:t>ASPE does not require this information.</w:t>
      </w:r>
    </w:p>
    <w:p w:rsidR="00DE47BB" w:rsidRDefault="00DE47BB" w:rsidP="00CB4881">
      <w:pPr>
        <w:rPr>
          <w:rFonts w:ascii="Times New Roman" w:hAnsi="Times New Roman"/>
        </w:rPr>
      </w:pPr>
    </w:p>
    <w:p w:rsidR="00DE47BB" w:rsidRPr="00DE47BB" w:rsidRDefault="00DE47BB" w:rsidP="00CB4881">
      <w:pPr>
        <w:rPr>
          <w:rFonts w:ascii="Times New Roman" w:hAnsi="Times New Roman"/>
        </w:rPr>
      </w:pPr>
    </w:p>
    <w:p w:rsidR="00D75B8F" w:rsidRDefault="009870AA">
      <w:pPr>
        <w:rPr>
          <w:rFonts w:ascii="Times New Roman" w:hAnsi="Times New Roman"/>
          <w:b/>
        </w:rPr>
      </w:pPr>
      <w:r>
        <w:rPr>
          <w:rFonts w:ascii="Times New Roman" w:hAnsi="Times New Roman"/>
          <w:b/>
        </w:rPr>
        <w:t>Relevant Standards</w:t>
      </w:r>
    </w:p>
    <w:p w:rsidR="00C00531" w:rsidRPr="00C00531" w:rsidRDefault="00C00531" w:rsidP="00C00531">
      <w:pPr>
        <w:pStyle w:val="bchtx"/>
        <w:spacing w:after="120" w:line="240" w:lineRule="auto"/>
        <w:ind w:right="240"/>
        <w:rPr>
          <w:rFonts w:ascii="Times New Roman" w:hAnsi="Times New Roman" w:cs="Times New Roman"/>
          <w:sz w:val="24"/>
          <w:szCs w:val="24"/>
        </w:rPr>
      </w:pPr>
      <w:r w:rsidRPr="00C00531">
        <w:rPr>
          <w:rFonts w:ascii="Times New Roman" w:hAnsi="Times New Roman" w:cs="Times New Roman"/>
          <w:i/>
          <w:iCs/>
          <w:sz w:val="24"/>
          <w:szCs w:val="24"/>
        </w:rPr>
        <w:t>CPA Canada Handbook, Part I</w:t>
      </w:r>
      <w:r w:rsidRPr="00C00531">
        <w:rPr>
          <w:rFonts w:ascii="Times New Roman" w:hAnsi="Times New Roman" w:cs="Times New Roman"/>
          <w:sz w:val="24"/>
          <w:szCs w:val="24"/>
        </w:rPr>
        <w:t xml:space="preserve"> (IFRS):</w:t>
      </w:r>
    </w:p>
    <w:p w:rsidR="009870AA" w:rsidRPr="009870AA" w:rsidRDefault="009870AA">
      <w:pPr>
        <w:rPr>
          <w:rFonts w:ascii="Times New Roman" w:hAnsi="Times New Roman"/>
        </w:rPr>
      </w:pPr>
      <w:r w:rsidRPr="009870AA">
        <w:rPr>
          <w:rFonts w:ascii="Times New Roman" w:hAnsi="Times New Roman"/>
        </w:rPr>
        <w:t>IAS</w:t>
      </w:r>
      <w:r w:rsidR="00C00531">
        <w:rPr>
          <w:rFonts w:ascii="Times New Roman" w:hAnsi="Times New Roman"/>
        </w:rPr>
        <w:t xml:space="preserve"> </w:t>
      </w:r>
      <w:r w:rsidRPr="009870AA">
        <w:rPr>
          <w:rFonts w:ascii="Times New Roman" w:hAnsi="Times New Roman"/>
        </w:rPr>
        <w:t>1, Presentation of Financial Statements</w:t>
      </w:r>
    </w:p>
    <w:p w:rsidR="009870AA" w:rsidRPr="009870AA" w:rsidRDefault="009870AA">
      <w:pPr>
        <w:rPr>
          <w:rFonts w:ascii="Times New Roman" w:hAnsi="Times New Roman"/>
        </w:rPr>
      </w:pPr>
      <w:r w:rsidRPr="009870AA">
        <w:rPr>
          <w:rFonts w:ascii="Times New Roman" w:hAnsi="Times New Roman"/>
        </w:rPr>
        <w:t>IAS 8, Accounting Policies, changes in Accounting Estimates and Errors</w:t>
      </w:r>
    </w:p>
    <w:p w:rsidR="009870AA" w:rsidRPr="009870AA" w:rsidRDefault="009870AA">
      <w:pPr>
        <w:rPr>
          <w:rFonts w:ascii="Times New Roman" w:hAnsi="Times New Roman"/>
        </w:rPr>
      </w:pPr>
      <w:r w:rsidRPr="009870AA">
        <w:rPr>
          <w:rFonts w:ascii="Times New Roman" w:hAnsi="Times New Roman"/>
        </w:rPr>
        <w:t>IAS</w:t>
      </w:r>
      <w:r w:rsidR="00C00531">
        <w:rPr>
          <w:rFonts w:ascii="Times New Roman" w:hAnsi="Times New Roman"/>
        </w:rPr>
        <w:t xml:space="preserve"> </w:t>
      </w:r>
      <w:r w:rsidRPr="009870AA">
        <w:rPr>
          <w:rFonts w:ascii="Times New Roman" w:hAnsi="Times New Roman"/>
        </w:rPr>
        <w:t>37, Provisions, Contingent</w:t>
      </w:r>
      <w:r>
        <w:rPr>
          <w:rFonts w:ascii="Times New Roman" w:hAnsi="Times New Roman"/>
        </w:rPr>
        <w:t xml:space="preserve"> </w:t>
      </w:r>
      <w:r w:rsidRPr="009870AA">
        <w:rPr>
          <w:rFonts w:ascii="Times New Roman" w:hAnsi="Times New Roman"/>
        </w:rPr>
        <w:t xml:space="preserve"> Liabilities and Contingent Assets</w:t>
      </w:r>
    </w:p>
    <w:p w:rsidR="009870AA" w:rsidRPr="009870AA" w:rsidRDefault="009870AA">
      <w:pPr>
        <w:rPr>
          <w:rFonts w:ascii="Times New Roman" w:hAnsi="Times New Roman"/>
        </w:rPr>
      </w:pPr>
      <w:r w:rsidRPr="009870AA">
        <w:rPr>
          <w:rFonts w:ascii="Times New Roman" w:hAnsi="Times New Roman"/>
        </w:rPr>
        <w:t>IFRS</w:t>
      </w:r>
      <w:r w:rsidR="00C00531">
        <w:rPr>
          <w:rFonts w:ascii="Times New Roman" w:hAnsi="Times New Roman"/>
        </w:rPr>
        <w:t xml:space="preserve"> </w:t>
      </w:r>
      <w:r w:rsidRPr="009870AA">
        <w:rPr>
          <w:rFonts w:ascii="Times New Roman" w:hAnsi="Times New Roman"/>
        </w:rPr>
        <w:t>5, Non-current Assets Held-for-sale and Discontinued Operations</w:t>
      </w:r>
    </w:p>
    <w:p w:rsidR="00C00531" w:rsidRDefault="00C00531" w:rsidP="00C00531">
      <w:pPr>
        <w:pStyle w:val="bchtx"/>
        <w:spacing w:after="120" w:line="240" w:lineRule="auto"/>
        <w:ind w:right="240"/>
        <w:rPr>
          <w:rFonts w:ascii="Times New Roman" w:hAnsi="Times New Roman" w:cs="Times New Roman"/>
          <w:i/>
          <w:iCs/>
          <w:sz w:val="24"/>
          <w:szCs w:val="24"/>
        </w:rPr>
      </w:pPr>
    </w:p>
    <w:p w:rsidR="009870AA" w:rsidRPr="00C00531" w:rsidRDefault="00C00531" w:rsidP="00C00531">
      <w:pPr>
        <w:pStyle w:val="bchtx"/>
        <w:spacing w:after="120" w:line="240" w:lineRule="auto"/>
        <w:ind w:right="240"/>
        <w:rPr>
          <w:rFonts w:ascii="Times New Roman" w:hAnsi="Times New Roman" w:cs="Times New Roman"/>
          <w:i/>
          <w:iCs/>
          <w:sz w:val="24"/>
          <w:szCs w:val="24"/>
        </w:rPr>
      </w:pPr>
      <w:r w:rsidRPr="00C00531">
        <w:rPr>
          <w:rFonts w:ascii="Times New Roman" w:hAnsi="Times New Roman" w:cs="Times New Roman"/>
          <w:i/>
          <w:iCs/>
          <w:sz w:val="24"/>
          <w:szCs w:val="24"/>
        </w:rPr>
        <w:t>CPA Canada Handbook, Part II (ASPE):</w:t>
      </w:r>
    </w:p>
    <w:p w:rsidR="009870AA" w:rsidRPr="009870AA" w:rsidRDefault="009870AA">
      <w:pPr>
        <w:rPr>
          <w:rFonts w:ascii="Times New Roman" w:hAnsi="Times New Roman"/>
        </w:rPr>
      </w:pPr>
      <w:r w:rsidRPr="009870AA">
        <w:rPr>
          <w:rFonts w:ascii="Times New Roman" w:hAnsi="Times New Roman"/>
        </w:rPr>
        <w:t>Section 1520, Income Statement</w:t>
      </w:r>
    </w:p>
    <w:p w:rsidR="009870AA" w:rsidRPr="009870AA" w:rsidRDefault="009870AA">
      <w:pPr>
        <w:rPr>
          <w:rFonts w:ascii="Times New Roman" w:hAnsi="Times New Roman"/>
        </w:rPr>
      </w:pPr>
      <w:r w:rsidRPr="009870AA">
        <w:rPr>
          <w:rFonts w:ascii="Times New Roman" w:hAnsi="Times New Roman"/>
        </w:rPr>
        <w:t>Section 3475, Disposal of Long-lived Assets and Discontinued Operations</w:t>
      </w:r>
    </w:p>
    <w:p w:rsidR="00D75B8F" w:rsidRDefault="00D75B8F">
      <w:pPr>
        <w:rPr>
          <w:rFonts w:ascii="Times New Roman" w:hAnsi="Times New Roman"/>
          <w:b/>
        </w:rPr>
      </w:pPr>
    </w:p>
    <w:p w:rsidR="00A17648" w:rsidRDefault="00A17648" w:rsidP="00BB2E49">
      <w:pPr>
        <w:pStyle w:val="Heading1"/>
        <w:rPr>
          <w:rFonts w:ascii="Times New Roman" w:hAnsi="Times New Roman"/>
          <w:i w:val="0"/>
          <w:u w:val="single"/>
        </w:rPr>
      </w:pPr>
      <w:r>
        <w:rPr>
          <w:rFonts w:ascii="Times New Roman" w:hAnsi="Times New Roman"/>
          <w:i w:val="0"/>
          <w:u w:val="single"/>
        </w:rPr>
        <w:t>PowerPoint Slides</w:t>
      </w:r>
    </w:p>
    <w:p w:rsidR="00A17648" w:rsidRDefault="00A17648">
      <w:pPr>
        <w:rPr>
          <w:rFonts w:ascii="Times New Roman" w:hAnsi="Times New Roman"/>
          <w:sz w:val="23"/>
        </w:rPr>
      </w:pPr>
      <w:r>
        <w:rPr>
          <w:rFonts w:ascii="Times New Roman" w:hAnsi="Times New Roman"/>
          <w:sz w:val="23"/>
        </w:rPr>
        <w:t xml:space="preserve">The PowerPoint slides can be used in part or in their entirety in computer adapted classrooms.  </w:t>
      </w:r>
    </w:p>
    <w:p w:rsidR="00A17648" w:rsidRDefault="00A17648">
      <w:pPr>
        <w:pStyle w:val="Heading2"/>
        <w:rPr>
          <w:rFonts w:ascii="Times New Roman" w:hAnsi="Times New Roman"/>
        </w:rPr>
      </w:pPr>
      <w:bookmarkStart w:id="0" w:name="_GoBack"/>
      <w:bookmarkEnd w:id="0"/>
    </w:p>
    <w:p w:rsidR="00AD5436" w:rsidRDefault="00AD5436" w:rsidP="00AD5436">
      <w:pPr>
        <w:pStyle w:val="Heading2"/>
        <w:rPr>
          <w:rFonts w:ascii="Times New Roman" w:hAnsi="Times New Roman"/>
        </w:rPr>
      </w:pPr>
    </w:p>
    <w:sectPr w:rsidR="00AD5436" w:rsidSect="00322A2B">
      <w:footerReference w:type="even" r:id="rId8"/>
      <w:footerReference w:type="default" r:id="rId9"/>
      <w:type w:val="continuous"/>
      <w:pgSz w:w="12240" w:h="15840" w:code="1"/>
      <w:pgMar w:top="1195" w:right="1728" w:bottom="1440" w:left="172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4739" w:rsidRDefault="00094739">
      <w:r>
        <w:separator/>
      </w:r>
    </w:p>
  </w:endnote>
  <w:endnote w:type="continuationSeparator" w:id="0">
    <w:p w:rsidR="00094739" w:rsidRDefault="00094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Chan MdIt BT">
    <w:panose1 w:val="00000000000000000000"/>
    <w:charset w:val="00"/>
    <w:family w:val="script"/>
    <w:notTrueType/>
    <w:pitch w:val="variable"/>
    <w:sig w:usb0="00000003" w:usb1="00000000" w:usb2="00000000" w:usb3="00000000" w:csb0="00000001" w:csb1="00000000"/>
  </w:font>
  <w:font w:name="Palatino">
    <w:altName w:val="Book Antiqu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HelveticaNeueLTStd-Cn">
    <w:panose1 w:val="00000000000000000000"/>
    <w:charset w:val="4D"/>
    <w:family w:val="auto"/>
    <w:notTrueType/>
    <w:pitch w:val="default"/>
    <w:sig w:usb0="00000003" w:usb1="00000000" w:usb2="00000000" w:usb3="00000000" w:csb0="00000001" w:csb1="00000000"/>
  </w:font>
  <w:font w:name="MinionPro-Regular">
    <w:panose1 w:val="00000000000000000000"/>
    <w:charset w:val="4D"/>
    <w:family w:val="auto"/>
    <w:notTrueType/>
    <w:pitch w:val="default"/>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7648" w:rsidRDefault="00A17648">
    <w:pPr>
      <w:pStyle w:val="Foot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sidR="004F68E5">
      <w:rPr>
        <w:rStyle w:val="PageNumber"/>
        <w:noProof/>
      </w:rPr>
      <w:t>20</w:t>
    </w:r>
    <w:r>
      <w:rPr>
        <w:rStyle w:val="PageNumber"/>
      </w:rPr>
      <w:fldChar w:fldCharType="end"/>
    </w:r>
  </w:p>
  <w:p w:rsidR="00A17648" w:rsidRDefault="00A17648">
    <w:pPr>
      <w:pStyle w:val="Footer"/>
      <w:pBdr>
        <w:bottom w:val="single" w:sz="12" w:space="1" w:color="auto"/>
      </w:pBdr>
      <w:jc w:val="center"/>
      <w:rPr>
        <w:rStyle w:val="PageNumber"/>
        <w:i/>
      </w:rPr>
    </w:pPr>
  </w:p>
  <w:p w:rsidR="00A17648" w:rsidRDefault="00A17648">
    <w:pPr>
      <w:pStyle w:val="Footer"/>
      <w:jc w:val="center"/>
      <w:rPr>
        <w:rStyle w:val="PageNumber"/>
        <w:i/>
      </w:rPr>
    </w:pPr>
    <w:r>
      <w:rPr>
        <w:rStyle w:val="PageNumber"/>
        <w:i/>
      </w:rPr>
      <w:t xml:space="preserve">Copyright </w:t>
    </w:r>
    <w:r>
      <w:rPr>
        <w:rStyle w:val="PageNumber"/>
        <w:i/>
      </w:rPr>
      <w:sym w:font="Symbol" w:char="F0D3"/>
    </w:r>
    <w:r>
      <w:rPr>
        <w:rStyle w:val="PageNumber"/>
        <w:i/>
      </w:rPr>
      <w:t xml:space="preserve"> 2003 by McGraw-Hill Ryerson Limited. All rights reserved.</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820" w:rsidRDefault="00554820" w:rsidP="00554820">
    <w:pPr>
      <w:pStyle w:val="Footer"/>
      <w:pBdr>
        <w:bottom w:val="single" w:sz="4" w:space="1" w:color="auto"/>
      </w:pBdr>
      <w:jc w:val="right"/>
      <w:rPr>
        <w:rStyle w:val="PageNumber"/>
        <w:rFonts w:ascii="Arial Narrow" w:hAnsi="Arial Narrow"/>
        <w:b w:val="0"/>
        <w:sz w:val="18"/>
        <w:szCs w:val="18"/>
      </w:rPr>
    </w:pPr>
    <w:r>
      <w:rPr>
        <w:rStyle w:val="PageNumber"/>
        <w:rFonts w:ascii="Arial Narrow" w:hAnsi="Arial Narrow"/>
        <w:b w:val="0"/>
        <w:sz w:val="18"/>
        <w:szCs w:val="18"/>
      </w:rPr>
      <w:t>© 2017 McGraw-Hill Education</w:t>
    </w:r>
  </w:p>
  <w:p w:rsidR="00A17648" w:rsidRPr="00554820" w:rsidRDefault="00554820" w:rsidP="004F68E5">
    <w:pPr>
      <w:pStyle w:val="Footer"/>
      <w:tabs>
        <w:tab w:val="clear" w:pos="8640"/>
        <w:tab w:val="right" w:pos="8820"/>
      </w:tabs>
    </w:pPr>
    <w:r>
      <w:rPr>
        <w:rStyle w:val="PageNumber"/>
        <w:rFonts w:ascii="Arial Narrow" w:hAnsi="Arial Narrow"/>
        <w:b w:val="0"/>
        <w:i/>
        <w:sz w:val="18"/>
        <w:szCs w:val="18"/>
      </w:rPr>
      <w:t>Instructor’s Manual to</w:t>
    </w:r>
    <w:r>
      <w:rPr>
        <w:rStyle w:val="PageNumber"/>
        <w:rFonts w:ascii="Arial Narrow" w:hAnsi="Arial Narrow"/>
        <w:b w:val="0"/>
        <w:sz w:val="18"/>
        <w:szCs w:val="18"/>
      </w:rPr>
      <w:t xml:space="preserve"> accompany </w:t>
    </w:r>
    <w:r>
      <w:rPr>
        <w:rStyle w:val="PageNumber"/>
        <w:rFonts w:ascii="Arial Narrow" w:hAnsi="Arial Narrow"/>
        <w:b w:val="0"/>
        <w:i/>
        <w:sz w:val="18"/>
        <w:szCs w:val="18"/>
      </w:rPr>
      <w:t>Intermediate Accounting</w:t>
    </w:r>
    <w:r>
      <w:rPr>
        <w:rStyle w:val="PageNumber"/>
        <w:rFonts w:ascii="Arial Narrow" w:hAnsi="Arial Narrow"/>
        <w:b w:val="0"/>
        <w:sz w:val="18"/>
        <w:szCs w:val="18"/>
      </w:rPr>
      <w:t>, 7</w:t>
    </w:r>
    <w:r>
      <w:rPr>
        <w:rStyle w:val="PageNumber"/>
        <w:rFonts w:ascii="Arial Narrow" w:hAnsi="Arial Narrow"/>
        <w:b w:val="0"/>
        <w:sz w:val="18"/>
        <w:szCs w:val="18"/>
        <w:vertAlign w:val="superscript"/>
      </w:rPr>
      <w:t>th</w:t>
    </w:r>
    <w:r>
      <w:rPr>
        <w:rStyle w:val="PageNumber"/>
        <w:rFonts w:ascii="Arial Narrow" w:hAnsi="Arial Narrow"/>
        <w:b w:val="0"/>
        <w:sz w:val="18"/>
        <w:szCs w:val="18"/>
      </w:rPr>
      <w:t xml:space="preserve"> edition</w:t>
    </w:r>
    <w:r>
      <w:rPr>
        <w:rStyle w:val="PageNumber"/>
        <w:rFonts w:ascii="Arial Narrow" w:hAnsi="Arial Narrow"/>
        <w:b w:val="0"/>
        <w:sz w:val="18"/>
        <w:szCs w:val="18"/>
      </w:rPr>
      <w:tab/>
    </w:r>
    <w:r>
      <w:rPr>
        <w:rStyle w:val="PageNumber"/>
        <w:rFonts w:ascii="Arial Narrow" w:hAnsi="Arial Narrow"/>
        <w:sz w:val="18"/>
        <w:szCs w:val="18"/>
      </w:rPr>
      <w:fldChar w:fldCharType="begin"/>
    </w:r>
    <w:r>
      <w:rPr>
        <w:rStyle w:val="PageNumber"/>
        <w:rFonts w:ascii="Arial Narrow" w:hAnsi="Arial Narrow"/>
        <w:sz w:val="18"/>
        <w:szCs w:val="18"/>
      </w:rPr>
      <w:instrText xml:space="preserve"> PAGE </w:instrText>
    </w:r>
    <w:r>
      <w:rPr>
        <w:rStyle w:val="PageNumber"/>
        <w:rFonts w:ascii="Arial Narrow" w:hAnsi="Arial Narrow"/>
        <w:sz w:val="18"/>
        <w:szCs w:val="18"/>
      </w:rPr>
      <w:fldChar w:fldCharType="separate"/>
    </w:r>
    <w:r w:rsidR="00A14CCF">
      <w:rPr>
        <w:rStyle w:val="PageNumber"/>
        <w:rFonts w:ascii="Arial Narrow" w:hAnsi="Arial Narrow"/>
        <w:noProof/>
        <w:sz w:val="18"/>
        <w:szCs w:val="18"/>
      </w:rPr>
      <w:t>11</w:t>
    </w:r>
    <w:r>
      <w:rPr>
        <w:rStyle w:val="PageNumber"/>
        <w:rFonts w:ascii="Arial Narrow" w:hAnsi="Arial Narrow"/>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4739" w:rsidRDefault="00094739">
      <w:r>
        <w:separator/>
      </w:r>
    </w:p>
  </w:footnote>
  <w:footnote w:type="continuationSeparator" w:id="0">
    <w:p w:rsidR="00094739" w:rsidRDefault="000947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A2E81"/>
    <w:multiLevelType w:val="hybridMultilevel"/>
    <w:tmpl w:val="2E8AC2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F34502"/>
    <w:multiLevelType w:val="hybridMultilevel"/>
    <w:tmpl w:val="C556FC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9271B9"/>
    <w:multiLevelType w:val="hybridMultilevel"/>
    <w:tmpl w:val="24A06C8C"/>
    <w:lvl w:ilvl="0" w:tplc="D24C26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F8D36C9"/>
    <w:multiLevelType w:val="hybridMultilevel"/>
    <w:tmpl w:val="D3C013D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172C167D"/>
    <w:multiLevelType w:val="hybridMultilevel"/>
    <w:tmpl w:val="6F4E79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CF1489"/>
    <w:multiLevelType w:val="hybridMultilevel"/>
    <w:tmpl w:val="05E688D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21B9756D"/>
    <w:multiLevelType w:val="hybridMultilevel"/>
    <w:tmpl w:val="2F9A8F5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294A23AE"/>
    <w:multiLevelType w:val="hybridMultilevel"/>
    <w:tmpl w:val="CF42A8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DB6BF4"/>
    <w:multiLevelType w:val="hybridMultilevel"/>
    <w:tmpl w:val="63FAC8EC"/>
    <w:lvl w:ilvl="0" w:tplc="ACA4B918">
      <w:start w:val="2"/>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9" w15:restartNumberingAfterBreak="0">
    <w:nsid w:val="32094B6D"/>
    <w:multiLevelType w:val="multilevel"/>
    <w:tmpl w:val="AA4A5D2A"/>
    <w:lvl w:ilvl="0">
      <w:start w:val="1"/>
      <w:numFmt w:val="bullet"/>
      <w:lvlText w:val=""/>
      <w:lvlJc w:val="left"/>
      <w:pPr>
        <w:tabs>
          <w:tab w:val="num" w:pos="1080"/>
        </w:tabs>
        <w:ind w:left="792" w:hanging="72"/>
      </w:pPr>
      <w:rPr>
        <w:rFonts w:ascii="Symbol" w:hAnsi="Symbol" w:hint="default"/>
      </w:rPr>
    </w:lvl>
    <w:lvl w:ilvl="1" w:tentative="1">
      <w:start w:val="1"/>
      <w:numFmt w:val="bullet"/>
      <w:lvlText w:val="o"/>
      <w:lvlJc w:val="left"/>
      <w:pPr>
        <w:tabs>
          <w:tab w:val="num" w:pos="1800"/>
        </w:tabs>
        <w:ind w:left="1800" w:hanging="360"/>
      </w:pPr>
      <w:rPr>
        <w:rFonts w:ascii="Courier New" w:hAnsi="Courier New" w:cs="ZapfChan MdIt BT"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ZapfChan MdIt BT"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ZapfChan MdIt BT"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328B3C97"/>
    <w:multiLevelType w:val="hybridMultilevel"/>
    <w:tmpl w:val="648472EA"/>
    <w:lvl w:ilvl="0" w:tplc="39222E06">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3D51DCA"/>
    <w:multiLevelType w:val="hybridMultilevel"/>
    <w:tmpl w:val="196E04F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34375BCE"/>
    <w:multiLevelType w:val="hybridMultilevel"/>
    <w:tmpl w:val="7F6242B2"/>
    <w:lvl w:ilvl="0" w:tplc="0066A5BE">
      <w:start w:val="1"/>
      <w:numFmt w:val="decimal"/>
      <w:lvlText w:val="%1."/>
      <w:lvlJc w:val="left"/>
      <w:pPr>
        <w:ind w:left="360" w:hanging="360"/>
      </w:pPr>
      <w:rPr>
        <w:rFonts w:hint="default"/>
        <w:b w:val="0"/>
        <w:i w:val="0"/>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3" w15:restartNumberingAfterBreak="0">
    <w:nsid w:val="384D117E"/>
    <w:multiLevelType w:val="hybridMultilevel"/>
    <w:tmpl w:val="945AA5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D51C4F"/>
    <w:multiLevelType w:val="hybridMultilevel"/>
    <w:tmpl w:val="1EFC34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A80C59"/>
    <w:multiLevelType w:val="hybridMultilevel"/>
    <w:tmpl w:val="E9DA03D6"/>
    <w:lvl w:ilvl="0" w:tplc="0066A5BE">
      <w:start w:val="1"/>
      <w:numFmt w:val="decimal"/>
      <w:lvlText w:val="%1."/>
      <w:lvlJc w:val="left"/>
      <w:pPr>
        <w:ind w:left="720" w:hanging="360"/>
      </w:pPr>
      <w:rPr>
        <w:rFonts w:hint="default"/>
        <w:b w:val="0"/>
        <w:i w:val="0"/>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40292F09"/>
    <w:multiLevelType w:val="hybridMultilevel"/>
    <w:tmpl w:val="874ABB84"/>
    <w:lvl w:ilvl="0" w:tplc="8794B76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407A44C7"/>
    <w:multiLevelType w:val="hybridMultilevel"/>
    <w:tmpl w:val="4CF836AC"/>
    <w:lvl w:ilvl="0" w:tplc="5052B416">
      <w:start w:val="1"/>
      <w:numFmt w:val="decimal"/>
      <w:lvlText w:val="%1."/>
      <w:lvlJc w:val="left"/>
      <w:pPr>
        <w:ind w:left="840" w:hanging="360"/>
      </w:pPr>
      <w:rPr>
        <w:rFonts w:hint="default"/>
      </w:rPr>
    </w:lvl>
    <w:lvl w:ilvl="1" w:tplc="10090019" w:tentative="1">
      <w:start w:val="1"/>
      <w:numFmt w:val="lowerLetter"/>
      <w:lvlText w:val="%2."/>
      <w:lvlJc w:val="left"/>
      <w:pPr>
        <w:ind w:left="1560" w:hanging="360"/>
      </w:pPr>
    </w:lvl>
    <w:lvl w:ilvl="2" w:tplc="1009001B" w:tentative="1">
      <w:start w:val="1"/>
      <w:numFmt w:val="lowerRoman"/>
      <w:lvlText w:val="%3."/>
      <w:lvlJc w:val="right"/>
      <w:pPr>
        <w:ind w:left="2280" w:hanging="180"/>
      </w:pPr>
    </w:lvl>
    <w:lvl w:ilvl="3" w:tplc="1009000F" w:tentative="1">
      <w:start w:val="1"/>
      <w:numFmt w:val="decimal"/>
      <w:lvlText w:val="%4."/>
      <w:lvlJc w:val="left"/>
      <w:pPr>
        <w:ind w:left="3000" w:hanging="360"/>
      </w:pPr>
    </w:lvl>
    <w:lvl w:ilvl="4" w:tplc="10090019" w:tentative="1">
      <w:start w:val="1"/>
      <w:numFmt w:val="lowerLetter"/>
      <w:lvlText w:val="%5."/>
      <w:lvlJc w:val="left"/>
      <w:pPr>
        <w:ind w:left="3720" w:hanging="360"/>
      </w:pPr>
    </w:lvl>
    <w:lvl w:ilvl="5" w:tplc="1009001B" w:tentative="1">
      <w:start w:val="1"/>
      <w:numFmt w:val="lowerRoman"/>
      <w:lvlText w:val="%6."/>
      <w:lvlJc w:val="right"/>
      <w:pPr>
        <w:ind w:left="4440" w:hanging="180"/>
      </w:pPr>
    </w:lvl>
    <w:lvl w:ilvl="6" w:tplc="1009000F" w:tentative="1">
      <w:start w:val="1"/>
      <w:numFmt w:val="decimal"/>
      <w:lvlText w:val="%7."/>
      <w:lvlJc w:val="left"/>
      <w:pPr>
        <w:ind w:left="5160" w:hanging="360"/>
      </w:pPr>
    </w:lvl>
    <w:lvl w:ilvl="7" w:tplc="10090019" w:tentative="1">
      <w:start w:val="1"/>
      <w:numFmt w:val="lowerLetter"/>
      <w:lvlText w:val="%8."/>
      <w:lvlJc w:val="left"/>
      <w:pPr>
        <w:ind w:left="5880" w:hanging="360"/>
      </w:pPr>
    </w:lvl>
    <w:lvl w:ilvl="8" w:tplc="1009001B" w:tentative="1">
      <w:start w:val="1"/>
      <w:numFmt w:val="lowerRoman"/>
      <w:lvlText w:val="%9."/>
      <w:lvlJc w:val="right"/>
      <w:pPr>
        <w:ind w:left="6600" w:hanging="180"/>
      </w:pPr>
    </w:lvl>
  </w:abstractNum>
  <w:abstractNum w:abstractNumId="18" w15:restartNumberingAfterBreak="0">
    <w:nsid w:val="40A117BE"/>
    <w:multiLevelType w:val="hybridMultilevel"/>
    <w:tmpl w:val="333045E4"/>
    <w:lvl w:ilvl="0" w:tplc="39222E06">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1920"/>
        </w:tabs>
        <w:ind w:left="1920" w:hanging="360"/>
      </w:pPr>
    </w:lvl>
    <w:lvl w:ilvl="2" w:tplc="0409001B" w:tentative="1">
      <w:start w:val="1"/>
      <w:numFmt w:val="lowerRoman"/>
      <w:lvlText w:val="%3."/>
      <w:lvlJc w:val="right"/>
      <w:pPr>
        <w:tabs>
          <w:tab w:val="num" w:pos="2640"/>
        </w:tabs>
        <w:ind w:left="2640" w:hanging="180"/>
      </w:pPr>
    </w:lvl>
    <w:lvl w:ilvl="3" w:tplc="0409000F" w:tentative="1">
      <w:start w:val="1"/>
      <w:numFmt w:val="decimal"/>
      <w:lvlText w:val="%4."/>
      <w:lvlJc w:val="left"/>
      <w:pPr>
        <w:tabs>
          <w:tab w:val="num" w:pos="3360"/>
        </w:tabs>
        <w:ind w:left="3360" w:hanging="360"/>
      </w:pPr>
    </w:lvl>
    <w:lvl w:ilvl="4" w:tplc="04090019" w:tentative="1">
      <w:start w:val="1"/>
      <w:numFmt w:val="lowerLetter"/>
      <w:lvlText w:val="%5."/>
      <w:lvlJc w:val="left"/>
      <w:pPr>
        <w:tabs>
          <w:tab w:val="num" w:pos="4080"/>
        </w:tabs>
        <w:ind w:left="4080" w:hanging="360"/>
      </w:pPr>
    </w:lvl>
    <w:lvl w:ilvl="5" w:tplc="0409001B" w:tentative="1">
      <w:start w:val="1"/>
      <w:numFmt w:val="lowerRoman"/>
      <w:lvlText w:val="%6."/>
      <w:lvlJc w:val="right"/>
      <w:pPr>
        <w:tabs>
          <w:tab w:val="num" w:pos="4800"/>
        </w:tabs>
        <w:ind w:left="4800" w:hanging="180"/>
      </w:pPr>
    </w:lvl>
    <w:lvl w:ilvl="6" w:tplc="0409000F" w:tentative="1">
      <w:start w:val="1"/>
      <w:numFmt w:val="decimal"/>
      <w:lvlText w:val="%7."/>
      <w:lvlJc w:val="left"/>
      <w:pPr>
        <w:tabs>
          <w:tab w:val="num" w:pos="5520"/>
        </w:tabs>
        <w:ind w:left="5520" w:hanging="360"/>
      </w:pPr>
    </w:lvl>
    <w:lvl w:ilvl="7" w:tplc="04090019" w:tentative="1">
      <w:start w:val="1"/>
      <w:numFmt w:val="lowerLetter"/>
      <w:lvlText w:val="%8."/>
      <w:lvlJc w:val="left"/>
      <w:pPr>
        <w:tabs>
          <w:tab w:val="num" w:pos="6240"/>
        </w:tabs>
        <w:ind w:left="6240" w:hanging="360"/>
      </w:pPr>
    </w:lvl>
    <w:lvl w:ilvl="8" w:tplc="0409001B" w:tentative="1">
      <w:start w:val="1"/>
      <w:numFmt w:val="lowerRoman"/>
      <w:lvlText w:val="%9."/>
      <w:lvlJc w:val="right"/>
      <w:pPr>
        <w:tabs>
          <w:tab w:val="num" w:pos="6960"/>
        </w:tabs>
        <w:ind w:left="6960" w:hanging="180"/>
      </w:pPr>
    </w:lvl>
  </w:abstractNum>
  <w:abstractNum w:abstractNumId="19" w15:restartNumberingAfterBreak="0">
    <w:nsid w:val="41970B51"/>
    <w:multiLevelType w:val="hybridMultilevel"/>
    <w:tmpl w:val="BA249480"/>
    <w:lvl w:ilvl="0" w:tplc="10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2865326"/>
    <w:multiLevelType w:val="hybridMultilevel"/>
    <w:tmpl w:val="96409736"/>
    <w:lvl w:ilvl="0" w:tplc="58B8FC2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D405A81"/>
    <w:multiLevelType w:val="hybridMultilevel"/>
    <w:tmpl w:val="DE1460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777BB3"/>
    <w:multiLevelType w:val="hybridMultilevel"/>
    <w:tmpl w:val="175C6CEA"/>
    <w:lvl w:ilvl="0" w:tplc="0066A5BE">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E54A11"/>
    <w:multiLevelType w:val="hybridMultilevel"/>
    <w:tmpl w:val="56B2599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50FC1E69"/>
    <w:multiLevelType w:val="hybridMultilevel"/>
    <w:tmpl w:val="CAC0D73A"/>
    <w:lvl w:ilvl="0" w:tplc="1D36F036">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5" w15:restartNumberingAfterBreak="0">
    <w:nsid w:val="55DA631A"/>
    <w:multiLevelType w:val="hybridMultilevel"/>
    <w:tmpl w:val="446C70C6"/>
    <w:lvl w:ilvl="0" w:tplc="03F892BE">
      <w:start w:val="1"/>
      <w:numFmt w:val="decimal"/>
      <w:lvlText w:val="(%1)"/>
      <w:lvlJc w:val="left"/>
      <w:pPr>
        <w:tabs>
          <w:tab w:val="num" w:pos="1200"/>
        </w:tabs>
        <w:ind w:left="120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66931E5"/>
    <w:multiLevelType w:val="singleLevel"/>
    <w:tmpl w:val="BC4AF444"/>
    <w:lvl w:ilvl="0">
      <w:start w:val="1"/>
      <w:numFmt w:val="decimal"/>
      <w:lvlText w:val="%1.    "/>
      <w:legacy w:legacy="1" w:legacySpace="0" w:legacyIndent="576"/>
      <w:lvlJc w:val="left"/>
      <w:pPr>
        <w:ind w:left="576" w:hanging="576"/>
      </w:pPr>
    </w:lvl>
  </w:abstractNum>
  <w:abstractNum w:abstractNumId="27" w15:restartNumberingAfterBreak="0">
    <w:nsid w:val="5FB3109A"/>
    <w:multiLevelType w:val="hybridMultilevel"/>
    <w:tmpl w:val="36B661B8"/>
    <w:lvl w:ilvl="0" w:tplc="381E5068">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28" w15:restartNumberingAfterBreak="0">
    <w:nsid w:val="60903B23"/>
    <w:multiLevelType w:val="hybridMultilevel"/>
    <w:tmpl w:val="3676BC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0D51A0A"/>
    <w:multiLevelType w:val="hybridMultilevel"/>
    <w:tmpl w:val="6EC4AC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7D1D0C"/>
    <w:multiLevelType w:val="hybridMultilevel"/>
    <w:tmpl w:val="71D09B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713F6"/>
    <w:multiLevelType w:val="hybridMultilevel"/>
    <w:tmpl w:val="140EB0D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15:restartNumberingAfterBreak="0">
    <w:nsid w:val="640607BE"/>
    <w:multiLevelType w:val="hybridMultilevel"/>
    <w:tmpl w:val="57887184"/>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 w15:restartNumberingAfterBreak="0">
    <w:nsid w:val="65B63E41"/>
    <w:multiLevelType w:val="hybridMultilevel"/>
    <w:tmpl w:val="12DA71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E83830"/>
    <w:multiLevelType w:val="hybridMultilevel"/>
    <w:tmpl w:val="A17481F8"/>
    <w:lvl w:ilvl="0" w:tplc="39222E06">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15:restartNumberingAfterBreak="0">
    <w:nsid w:val="682A6758"/>
    <w:multiLevelType w:val="hybridMultilevel"/>
    <w:tmpl w:val="EAB0EED0"/>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36" w15:restartNumberingAfterBreak="0">
    <w:nsid w:val="6F2705B1"/>
    <w:multiLevelType w:val="hybridMultilevel"/>
    <w:tmpl w:val="28E44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19B1383"/>
    <w:multiLevelType w:val="hybridMultilevel"/>
    <w:tmpl w:val="9084A59C"/>
    <w:lvl w:ilvl="0" w:tplc="1009000F">
      <w:start w:val="1"/>
      <w:numFmt w:val="decimal"/>
      <w:lvlText w:val="%1."/>
      <w:lvlJc w:val="left"/>
      <w:pPr>
        <w:ind w:left="360" w:hanging="360"/>
      </w:p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8" w15:restartNumberingAfterBreak="0">
    <w:nsid w:val="76C10F23"/>
    <w:multiLevelType w:val="hybridMultilevel"/>
    <w:tmpl w:val="216A42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92A000B"/>
    <w:multiLevelType w:val="hybridMultilevel"/>
    <w:tmpl w:val="A1C812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92A004E"/>
    <w:multiLevelType w:val="hybridMultilevel"/>
    <w:tmpl w:val="3A46214A"/>
    <w:lvl w:ilvl="0" w:tplc="0409000F">
      <w:start w:val="1"/>
      <w:numFmt w:val="decimal"/>
      <w:lvlText w:val="%1."/>
      <w:lvlJc w:val="left"/>
      <w:pPr>
        <w:ind w:left="720" w:hanging="360"/>
      </w:pPr>
      <w:rPr>
        <w:rFonts w:hint="default"/>
      </w:rPr>
    </w:lvl>
    <w:lvl w:ilvl="1" w:tplc="6F40439A">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9C5B44"/>
    <w:multiLevelType w:val="hybridMultilevel"/>
    <w:tmpl w:val="1332D98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26"/>
  </w:num>
  <w:num w:numId="2">
    <w:abstractNumId w:val="18"/>
  </w:num>
  <w:num w:numId="3">
    <w:abstractNumId w:val="25"/>
  </w:num>
  <w:num w:numId="4">
    <w:abstractNumId w:val="9"/>
  </w:num>
  <w:num w:numId="5">
    <w:abstractNumId w:val="34"/>
  </w:num>
  <w:num w:numId="6">
    <w:abstractNumId w:val="10"/>
  </w:num>
  <w:num w:numId="7">
    <w:abstractNumId w:val="23"/>
  </w:num>
  <w:num w:numId="8">
    <w:abstractNumId w:val="28"/>
  </w:num>
  <w:num w:numId="9">
    <w:abstractNumId w:val="39"/>
  </w:num>
  <w:num w:numId="10">
    <w:abstractNumId w:val="36"/>
  </w:num>
  <w:num w:numId="11">
    <w:abstractNumId w:val="30"/>
  </w:num>
  <w:num w:numId="12">
    <w:abstractNumId w:val="2"/>
  </w:num>
  <w:num w:numId="13">
    <w:abstractNumId w:val="29"/>
  </w:num>
  <w:num w:numId="14">
    <w:abstractNumId w:val="24"/>
  </w:num>
  <w:num w:numId="15">
    <w:abstractNumId w:val="1"/>
  </w:num>
  <w:num w:numId="16">
    <w:abstractNumId w:val="4"/>
  </w:num>
  <w:num w:numId="17">
    <w:abstractNumId w:val="22"/>
  </w:num>
  <w:num w:numId="18">
    <w:abstractNumId w:val="38"/>
  </w:num>
  <w:num w:numId="19">
    <w:abstractNumId w:val="0"/>
  </w:num>
  <w:num w:numId="20">
    <w:abstractNumId w:val="14"/>
  </w:num>
  <w:num w:numId="21">
    <w:abstractNumId w:val="33"/>
  </w:num>
  <w:num w:numId="22">
    <w:abstractNumId w:val="21"/>
  </w:num>
  <w:num w:numId="23">
    <w:abstractNumId w:val="13"/>
  </w:num>
  <w:num w:numId="24">
    <w:abstractNumId w:val="7"/>
  </w:num>
  <w:num w:numId="25">
    <w:abstractNumId w:val="40"/>
  </w:num>
  <w:num w:numId="26">
    <w:abstractNumId w:val="20"/>
  </w:num>
  <w:num w:numId="27">
    <w:abstractNumId w:val="16"/>
  </w:num>
  <w:num w:numId="28">
    <w:abstractNumId w:val="31"/>
  </w:num>
  <w:num w:numId="29">
    <w:abstractNumId w:val="41"/>
  </w:num>
  <w:num w:numId="30">
    <w:abstractNumId w:val="5"/>
  </w:num>
  <w:num w:numId="31">
    <w:abstractNumId w:val="3"/>
  </w:num>
  <w:num w:numId="32">
    <w:abstractNumId w:val="6"/>
  </w:num>
  <w:num w:numId="33">
    <w:abstractNumId w:val="35"/>
  </w:num>
  <w:num w:numId="34">
    <w:abstractNumId w:val="11"/>
  </w:num>
  <w:num w:numId="35">
    <w:abstractNumId w:val="32"/>
  </w:num>
  <w:num w:numId="36">
    <w:abstractNumId w:val="8"/>
  </w:num>
  <w:num w:numId="37">
    <w:abstractNumId w:val="19"/>
  </w:num>
  <w:num w:numId="38">
    <w:abstractNumId w:val="17"/>
  </w:num>
  <w:num w:numId="39">
    <w:abstractNumId w:val="15"/>
  </w:num>
  <w:num w:numId="40">
    <w:abstractNumId w:val="12"/>
  </w:num>
  <w:num w:numId="41">
    <w:abstractNumId w:val="37"/>
  </w:num>
  <w:num w:numId="42">
    <w:abstractNumId w:val="2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mirrorMargins/>
  <w:hideGrammatical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68E5"/>
    <w:rsid w:val="00007A02"/>
    <w:rsid w:val="00010BE8"/>
    <w:rsid w:val="00020521"/>
    <w:rsid w:val="000213B2"/>
    <w:rsid w:val="00034D93"/>
    <w:rsid w:val="00043818"/>
    <w:rsid w:val="00047272"/>
    <w:rsid w:val="0006633D"/>
    <w:rsid w:val="00073F5C"/>
    <w:rsid w:val="00093FFE"/>
    <w:rsid w:val="00094739"/>
    <w:rsid w:val="00094F80"/>
    <w:rsid w:val="000B71B2"/>
    <w:rsid w:val="000C30AC"/>
    <w:rsid w:val="000D694F"/>
    <w:rsid w:val="000F32B5"/>
    <w:rsid w:val="0010746C"/>
    <w:rsid w:val="00152C1D"/>
    <w:rsid w:val="0015732E"/>
    <w:rsid w:val="001661C3"/>
    <w:rsid w:val="001819E6"/>
    <w:rsid w:val="00187994"/>
    <w:rsid w:val="001A4C10"/>
    <w:rsid w:val="001A79EC"/>
    <w:rsid w:val="001B2AE7"/>
    <w:rsid w:val="001B785A"/>
    <w:rsid w:val="001C02D9"/>
    <w:rsid w:val="001D0B9B"/>
    <w:rsid w:val="001D734E"/>
    <w:rsid w:val="001D7DCC"/>
    <w:rsid w:val="001F642D"/>
    <w:rsid w:val="002043A1"/>
    <w:rsid w:val="00204DE7"/>
    <w:rsid w:val="00206ADC"/>
    <w:rsid w:val="0022345F"/>
    <w:rsid w:val="0023630F"/>
    <w:rsid w:val="00237A5B"/>
    <w:rsid w:val="0025788C"/>
    <w:rsid w:val="00272763"/>
    <w:rsid w:val="00275033"/>
    <w:rsid w:val="002831CB"/>
    <w:rsid w:val="002B40A1"/>
    <w:rsid w:val="002C143C"/>
    <w:rsid w:val="002C5292"/>
    <w:rsid w:val="002E547D"/>
    <w:rsid w:val="002F41CF"/>
    <w:rsid w:val="00312D17"/>
    <w:rsid w:val="00322A2B"/>
    <w:rsid w:val="003238EA"/>
    <w:rsid w:val="00332745"/>
    <w:rsid w:val="00361F6D"/>
    <w:rsid w:val="00384F6A"/>
    <w:rsid w:val="003A4D38"/>
    <w:rsid w:val="003D577E"/>
    <w:rsid w:val="00401416"/>
    <w:rsid w:val="00464F49"/>
    <w:rsid w:val="00483320"/>
    <w:rsid w:val="004A4BF0"/>
    <w:rsid w:val="004B6EE7"/>
    <w:rsid w:val="004F27AB"/>
    <w:rsid w:val="004F68E5"/>
    <w:rsid w:val="00504899"/>
    <w:rsid w:val="00517F3B"/>
    <w:rsid w:val="00544BD6"/>
    <w:rsid w:val="005508E0"/>
    <w:rsid w:val="00554820"/>
    <w:rsid w:val="00583B79"/>
    <w:rsid w:val="0058696C"/>
    <w:rsid w:val="005D1C69"/>
    <w:rsid w:val="005E3543"/>
    <w:rsid w:val="005F1BC3"/>
    <w:rsid w:val="00616141"/>
    <w:rsid w:val="00634DAB"/>
    <w:rsid w:val="006351AB"/>
    <w:rsid w:val="00662722"/>
    <w:rsid w:val="00676AD2"/>
    <w:rsid w:val="00682AA3"/>
    <w:rsid w:val="006838A4"/>
    <w:rsid w:val="006A5820"/>
    <w:rsid w:val="006B7A71"/>
    <w:rsid w:val="006E0953"/>
    <w:rsid w:val="006F45E7"/>
    <w:rsid w:val="00720506"/>
    <w:rsid w:val="00720C74"/>
    <w:rsid w:val="0072625F"/>
    <w:rsid w:val="00737D21"/>
    <w:rsid w:val="00742F15"/>
    <w:rsid w:val="00750E10"/>
    <w:rsid w:val="007753B7"/>
    <w:rsid w:val="00782B21"/>
    <w:rsid w:val="00793A42"/>
    <w:rsid w:val="007A2535"/>
    <w:rsid w:val="007B7318"/>
    <w:rsid w:val="007F17E5"/>
    <w:rsid w:val="00837CCE"/>
    <w:rsid w:val="00851888"/>
    <w:rsid w:val="008766BC"/>
    <w:rsid w:val="00884EC2"/>
    <w:rsid w:val="00885306"/>
    <w:rsid w:val="0089663D"/>
    <w:rsid w:val="008A36AB"/>
    <w:rsid w:val="008A5790"/>
    <w:rsid w:val="008A6622"/>
    <w:rsid w:val="008A7401"/>
    <w:rsid w:val="008A7DF2"/>
    <w:rsid w:val="008C15AD"/>
    <w:rsid w:val="008C4771"/>
    <w:rsid w:val="008C4A14"/>
    <w:rsid w:val="008C5A8C"/>
    <w:rsid w:val="0091721B"/>
    <w:rsid w:val="00946170"/>
    <w:rsid w:val="00956B3F"/>
    <w:rsid w:val="00963303"/>
    <w:rsid w:val="00965BE6"/>
    <w:rsid w:val="0097522F"/>
    <w:rsid w:val="009870AA"/>
    <w:rsid w:val="00990481"/>
    <w:rsid w:val="009B0DF6"/>
    <w:rsid w:val="009C1952"/>
    <w:rsid w:val="009C559B"/>
    <w:rsid w:val="009F1CBF"/>
    <w:rsid w:val="00A14CCF"/>
    <w:rsid w:val="00A17648"/>
    <w:rsid w:val="00A2086A"/>
    <w:rsid w:val="00A216D0"/>
    <w:rsid w:val="00A27627"/>
    <w:rsid w:val="00A34430"/>
    <w:rsid w:val="00A37ABF"/>
    <w:rsid w:val="00A46044"/>
    <w:rsid w:val="00A711B2"/>
    <w:rsid w:val="00A73B39"/>
    <w:rsid w:val="00A947FF"/>
    <w:rsid w:val="00AD5436"/>
    <w:rsid w:val="00AF62BB"/>
    <w:rsid w:val="00B115D3"/>
    <w:rsid w:val="00B1773A"/>
    <w:rsid w:val="00B405EA"/>
    <w:rsid w:val="00B55A00"/>
    <w:rsid w:val="00B566B4"/>
    <w:rsid w:val="00B95822"/>
    <w:rsid w:val="00BA432E"/>
    <w:rsid w:val="00BA6F07"/>
    <w:rsid w:val="00BB2E49"/>
    <w:rsid w:val="00BD7A80"/>
    <w:rsid w:val="00BE46AF"/>
    <w:rsid w:val="00C00531"/>
    <w:rsid w:val="00C25C4C"/>
    <w:rsid w:val="00C263E6"/>
    <w:rsid w:val="00C43DC3"/>
    <w:rsid w:val="00C63DA3"/>
    <w:rsid w:val="00C83823"/>
    <w:rsid w:val="00CB157F"/>
    <w:rsid w:val="00CB4881"/>
    <w:rsid w:val="00CC1AAF"/>
    <w:rsid w:val="00CC1D72"/>
    <w:rsid w:val="00CC7307"/>
    <w:rsid w:val="00CE1110"/>
    <w:rsid w:val="00D023E2"/>
    <w:rsid w:val="00D03329"/>
    <w:rsid w:val="00D1208D"/>
    <w:rsid w:val="00D138AE"/>
    <w:rsid w:val="00D72FF9"/>
    <w:rsid w:val="00D738EC"/>
    <w:rsid w:val="00D75B8F"/>
    <w:rsid w:val="00D9328E"/>
    <w:rsid w:val="00D94A83"/>
    <w:rsid w:val="00DA397E"/>
    <w:rsid w:val="00DA3AEA"/>
    <w:rsid w:val="00DB1B9E"/>
    <w:rsid w:val="00DB47BA"/>
    <w:rsid w:val="00DC1A30"/>
    <w:rsid w:val="00DD1BAD"/>
    <w:rsid w:val="00DE47BB"/>
    <w:rsid w:val="00DF00E9"/>
    <w:rsid w:val="00E07C7C"/>
    <w:rsid w:val="00E30C6E"/>
    <w:rsid w:val="00E35AC8"/>
    <w:rsid w:val="00E55DE7"/>
    <w:rsid w:val="00E56105"/>
    <w:rsid w:val="00E6572B"/>
    <w:rsid w:val="00E73EE3"/>
    <w:rsid w:val="00E93968"/>
    <w:rsid w:val="00EB7A13"/>
    <w:rsid w:val="00EC12D8"/>
    <w:rsid w:val="00EC6DF9"/>
    <w:rsid w:val="00ED1B00"/>
    <w:rsid w:val="00ED236C"/>
    <w:rsid w:val="00EE006F"/>
    <w:rsid w:val="00EE21F1"/>
    <w:rsid w:val="00EE611A"/>
    <w:rsid w:val="00EF5930"/>
    <w:rsid w:val="00F0255E"/>
    <w:rsid w:val="00F07DCC"/>
    <w:rsid w:val="00F366BB"/>
    <w:rsid w:val="00F505C6"/>
    <w:rsid w:val="00F749DA"/>
    <w:rsid w:val="00F75418"/>
    <w:rsid w:val="00F87668"/>
    <w:rsid w:val="00F96422"/>
    <w:rsid w:val="00FA00F1"/>
    <w:rsid w:val="00FD27ED"/>
    <w:rsid w:val="00FF3D62"/>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75505A7-1A9C-43DD-B5F3-675B982B9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CA" w:eastAsia="en-CA"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84" w:lineRule="exact"/>
    </w:pPr>
    <w:rPr>
      <w:rFonts w:ascii="Palatino" w:hAnsi="Palatino"/>
      <w:sz w:val="24"/>
      <w:lang w:val="en-US" w:eastAsia="en-US"/>
    </w:rPr>
  </w:style>
  <w:style w:type="paragraph" w:styleId="Heading1">
    <w:name w:val="heading 1"/>
    <w:basedOn w:val="Normal"/>
    <w:next w:val="Normal"/>
    <w:qFormat/>
    <w:pPr>
      <w:keepNext/>
      <w:outlineLvl w:val="0"/>
    </w:pPr>
    <w:rPr>
      <w:rFonts w:ascii="Helvetica" w:hAnsi="Helvetica"/>
      <w:b/>
      <w:i/>
    </w:rPr>
  </w:style>
  <w:style w:type="paragraph" w:styleId="Heading2">
    <w:name w:val="heading 2"/>
    <w:basedOn w:val="Normal"/>
    <w:next w:val="Normal"/>
    <w:qFormat/>
    <w:pPr>
      <w:keepNext/>
      <w:outlineLvl w:val="1"/>
    </w:pPr>
    <w:rPr>
      <w:b/>
      <w:u w:val="single"/>
    </w:rPr>
  </w:style>
  <w:style w:type="paragraph" w:styleId="Heading3">
    <w:name w:val="heading 3"/>
    <w:basedOn w:val="Normal"/>
    <w:next w:val="Normal"/>
    <w:qFormat/>
    <w:pPr>
      <w:keepNext/>
      <w:outlineLvl w:val="2"/>
    </w:pPr>
    <w:rPr>
      <w:b/>
      <w:sz w:val="23"/>
      <w:u w:val="single"/>
    </w:rPr>
  </w:style>
  <w:style w:type="paragraph" w:styleId="Heading4">
    <w:name w:val="heading 4"/>
    <w:basedOn w:val="Normal"/>
    <w:next w:val="Normal"/>
    <w:qFormat/>
    <w:pPr>
      <w:keepNext/>
      <w:spacing w:after="120"/>
      <w:outlineLvl w:val="3"/>
    </w:pPr>
    <w:rPr>
      <w:rFonts w:ascii="Arial" w:hAnsi="Arial"/>
      <w:b/>
      <w:u w:val="single"/>
    </w:rPr>
  </w:style>
  <w:style w:type="paragraph" w:styleId="Heading5">
    <w:name w:val="heading 5"/>
    <w:basedOn w:val="Normal"/>
    <w:next w:val="Normal"/>
    <w:qFormat/>
    <w:pPr>
      <w:keepNext/>
      <w:spacing w:line="240" w:lineRule="auto"/>
      <w:outlineLvl w:val="4"/>
    </w:pPr>
    <w:rPr>
      <w:i/>
      <w:sz w:val="52"/>
    </w:rPr>
  </w:style>
  <w:style w:type="paragraph" w:styleId="Heading6">
    <w:name w:val="heading 6"/>
    <w:basedOn w:val="Normal"/>
    <w:next w:val="Normal"/>
    <w:qFormat/>
    <w:pPr>
      <w:keepNext/>
      <w:outlineLvl w:val="5"/>
    </w:pPr>
    <w:rPr>
      <w:sz w:val="36"/>
    </w:rPr>
  </w:style>
  <w:style w:type="paragraph" w:styleId="Heading7">
    <w:name w:val="heading 7"/>
    <w:basedOn w:val="Normal"/>
    <w:next w:val="Normal"/>
    <w:qFormat/>
    <w:pPr>
      <w:keepNext/>
      <w:spacing w:line="240" w:lineRule="auto"/>
      <w:outlineLvl w:val="6"/>
    </w:pPr>
    <w:rPr>
      <w:b/>
      <w:i/>
      <w:sz w:val="20"/>
    </w:rPr>
  </w:style>
  <w:style w:type="paragraph" w:styleId="Heading8">
    <w:name w:val="heading 8"/>
    <w:basedOn w:val="Normal"/>
    <w:next w:val="Normal"/>
    <w:qFormat/>
    <w:pPr>
      <w:keepNext/>
      <w:spacing w:after="120"/>
      <w:jc w:val="right"/>
      <w:outlineLvl w:val="7"/>
    </w:pPr>
    <w:rPr>
      <w:b/>
      <w:i/>
    </w:rPr>
  </w:style>
  <w:style w:type="paragraph" w:styleId="Heading9">
    <w:name w:val="heading 9"/>
    <w:basedOn w:val="Normal"/>
    <w:next w:val="Normal"/>
    <w:qFormat/>
    <w:pPr>
      <w:keepNext/>
      <w:spacing w:line="240" w:lineRule="auto"/>
      <w:outlineLvl w:val="8"/>
    </w:pPr>
    <w:rPr>
      <w:i/>
      <w:sz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MTEquationSection">
    <w:name w:val="MTEquationSection"/>
    <w:rPr>
      <w:rFonts w:ascii="Palatino" w:hAnsi="Palatino"/>
      <w:b/>
      <w:vanish/>
      <w:color w:val="FF0000"/>
      <w:sz w:val="48"/>
    </w:rPr>
  </w:style>
  <w:style w:type="paragraph" w:styleId="Header">
    <w:name w:val="header"/>
    <w:basedOn w:val="Normal"/>
    <w:pPr>
      <w:tabs>
        <w:tab w:val="center" w:pos="4320"/>
        <w:tab w:val="right" w:pos="8640"/>
      </w:tabs>
    </w:pPr>
  </w:style>
  <w:style w:type="paragraph" w:customStyle="1" w:styleId="bullet">
    <w:name w:val="bullet"/>
    <w:basedOn w:val="Normal"/>
    <w:pPr>
      <w:ind w:left="480"/>
    </w:pPr>
  </w:style>
  <w:style w:type="paragraph" w:styleId="Footer">
    <w:name w:val="footer"/>
    <w:basedOn w:val="Normal"/>
    <w:link w:val="FooterChar"/>
    <w:pPr>
      <w:tabs>
        <w:tab w:val="center" w:pos="4320"/>
        <w:tab w:val="right" w:pos="8640"/>
      </w:tabs>
    </w:pPr>
  </w:style>
  <w:style w:type="character" w:styleId="PageNumber">
    <w:name w:val="page number"/>
    <w:rPr>
      <w:rFonts w:ascii="Palatino" w:hAnsi="Palatino"/>
      <w:b/>
      <w:sz w:val="24"/>
    </w:rPr>
  </w:style>
  <w:style w:type="paragraph" w:styleId="BodyText">
    <w:name w:val="Body Text"/>
    <w:basedOn w:val="Normal"/>
    <w:pPr>
      <w:spacing w:after="240" w:line="240" w:lineRule="auto"/>
      <w:jc w:val="both"/>
    </w:pPr>
    <w:rPr>
      <w:rFonts w:ascii="Times New Roman" w:hAnsi="Times New Roman"/>
      <w:sz w:val="22"/>
    </w:rPr>
  </w:style>
  <w:style w:type="paragraph" w:customStyle="1" w:styleId="Head1">
    <w:name w:val="Head1"/>
    <w:basedOn w:val="Normal"/>
    <w:pPr>
      <w:spacing w:after="40"/>
    </w:pPr>
    <w:rPr>
      <w:rFonts w:ascii="Helvetica" w:hAnsi="Helvetica"/>
      <w:b/>
    </w:rPr>
  </w:style>
  <w:style w:type="paragraph" w:customStyle="1" w:styleId="WATCH">
    <w:name w:val="WATCH"/>
    <w:basedOn w:val="Normal"/>
    <w:pPr>
      <w:ind w:hanging="1200"/>
    </w:pPr>
  </w:style>
  <w:style w:type="paragraph" w:customStyle="1" w:styleId="truefalse">
    <w:name w:val="truefalse"/>
    <w:basedOn w:val="Normal"/>
    <w:pPr>
      <w:tabs>
        <w:tab w:val="left" w:pos="312"/>
        <w:tab w:val="left" w:pos="624"/>
        <w:tab w:val="left" w:pos="960"/>
      </w:tabs>
      <w:ind w:left="960" w:hanging="960"/>
    </w:pPr>
  </w:style>
  <w:style w:type="paragraph" w:customStyle="1" w:styleId="multiple">
    <w:name w:val="multiple"/>
    <w:basedOn w:val="Normal"/>
    <w:pPr>
      <w:tabs>
        <w:tab w:val="left" w:leader="underscore" w:pos="384"/>
        <w:tab w:val="right" w:pos="624"/>
        <w:tab w:val="left" w:pos="720"/>
        <w:tab w:val="left" w:pos="960"/>
      </w:tabs>
      <w:ind w:left="720" w:hanging="792"/>
    </w:pPr>
  </w:style>
  <w:style w:type="paragraph" w:customStyle="1" w:styleId="multiplechoice">
    <w:name w:val="multiplechoice"/>
    <w:basedOn w:val="multiple"/>
    <w:pPr>
      <w:tabs>
        <w:tab w:val="clear" w:pos="384"/>
        <w:tab w:val="clear" w:pos="624"/>
        <w:tab w:val="clear" w:pos="720"/>
        <w:tab w:val="clear" w:pos="960"/>
      </w:tabs>
      <w:ind w:left="1440" w:hanging="720"/>
    </w:pPr>
  </w:style>
  <w:style w:type="paragraph" w:customStyle="1" w:styleId="hanging">
    <w:name w:val="hanging"/>
    <w:basedOn w:val="truefalse"/>
    <w:pPr>
      <w:tabs>
        <w:tab w:val="clear" w:pos="312"/>
        <w:tab w:val="clear" w:pos="624"/>
        <w:tab w:val="clear" w:pos="960"/>
      </w:tabs>
      <w:ind w:left="360" w:hanging="360"/>
    </w:pPr>
  </w:style>
  <w:style w:type="paragraph" w:styleId="ListNumber">
    <w:name w:val="List Number"/>
    <w:basedOn w:val="Normal"/>
    <w:pPr>
      <w:spacing w:after="120" w:line="240" w:lineRule="auto"/>
      <w:ind w:left="576" w:hanging="576"/>
    </w:pPr>
    <w:rPr>
      <w:rFonts w:ascii="Times New Roman" w:hAnsi="Times New Roman"/>
      <w:sz w:val="22"/>
    </w:rPr>
  </w:style>
  <w:style w:type="paragraph" w:customStyle="1" w:styleId="TableBody">
    <w:name w:val="Table Body"/>
    <w:pPr>
      <w:keepNext/>
    </w:pPr>
    <w:rPr>
      <w:sz w:val="22"/>
      <w:lang w:val="en-US" w:eastAsia="en-US"/>
    </w:rPr>
  </w:style>
  <w:style w:type="paragraph" w:customStyle="1" w:styleId="dash">
    <w:name w:val="dash"/>
    <w:basedOn w:val="bullet"/>
    <w:pPr>
      <w:tabs>
        <w:tab w:val="left" w:pos="1200"/>
      </w:tabs>
      <w:ind w:left="1200" w:hanging="480"/>
    </w:pPr>
  </w:style>
  <w:style w:type="paragraph" w:customStyle="1" w:styleId="hangingtight">
    <w:name w:val="hangingtight"/>
    <w:basedOn w:val="hanging"/>
  </w:style>
  <w:style w:type="paragraph" w:styleId="BodyText2">
    <w:name w:val="Body Text 2"/>
    <w:basedOn w:val="Normal"/>
    <w:rPr>
      <w:sz w:val="48"/>
    </w:rPr>
  </w:style>
  <w:style w:type="paragraph" w:customStyle="1" w:styleId="6ptspace">
    <w:name w:val="6pt space"/>
    <w:basedOn w:val="Normal"/>
    <w:pPr>
      <w:spacing w:line="120" w:lineRule="exact"/>
    </w:pPr>
    <w:rPr>
      <w:sz w:val="16"/>
    </w:rPr>
  </w:style>
  <w:style w:type="paragraph" w:customStyle="1" w:styleId="Bodytext10-6ptsdown">
    <w:name w:val="Body text 10-6 pts down"/>
    <w:basedOn w:val="Normal"/>
    <w:pPr>
      <w:spacing w:line="280" w:lineRule="exact"/>
    </w:pPr>
  </w:style>
  <w:style w:type="paragraph" w:customStyle="1" w:styleId="table-helv">
    <w:name w:val="table-helv"/>
    <w:basedOn w:val="Normal"/>
    <w:pPr>
      <w:spacing w:line="240" w:lineRule="auto"/>
    </w:pPr>
    <w:rPr>
      <w:rFonts w:ascii="Helvetica" w:hAnsi="Helvetica"/>
      <w:sz w:val="20"/>
    </w:rPr>
  </w:style>
  <w:style w:type="paragraph" w:styleId="BodyText3">
    <w:name w:val="Body Text 3"/>
    <w:basedOn w:val="Normal"/>
    <w:rPr>
      <w:sz w:val="23"/>
    </w:rPr>
  </w:style>
  <w:style w:type="paragraph" w:customStyle="1" w:styleId="Indenthang">
    <w:name w:val="Indenthang"/>
    <w:basedOn w:val="hangingtight"/>
    <w:pPr>
      <w:ind w:left="720" w:hanging="240"/>
    </w:pPr>
  </w:style>
  <w:style w:type="paragraph" w:styleId="DocumentMap">
    <w:name w:val="Document Map"/>
    <w:basedOn w:val="Normal"/>
    <w:semiHidden/>
    <w:pPr>
      <w:shd w:val="clear" w:color="auto" w:fill="000080"/>
    </w:pPr>
    <w:rPr>
      <w:rFonts w:ascii="Tahoma" w:hAnsi="Tahoma"/>
    </w:rPr>
  </w:style>
  <w:style w:type="paragraph" w:customStyle="1" w:styleId="Contents">
    <w:name w:val="Contents"/>
    <w:basedOn w:val="Heading4"/>
    <w:pPr>
      <w:tabs>
        <w:tab w:val="left" w:pos="1200"/>
        <w:tab w:val="left" w:pos="2160"/>
        <w:tab w:val="right" w:leader="dot" w:pos="6600"/>
        <w:tab w:val="left" w:pos="7200"/>
      </w:tabs>
      <w:spacing w:after="0" w:line="240" w:lineRule="auto"/>
      <w:jc w:val="both"/>
    </w:pPr>
    <w:rPr>
      <w:rFonts w:ascii="Times" w:hAnsi="Times"/>
      <w:b w:val="0"/>
      <w:noProof/>
      <w:u w:val="none"/>
    </w:rPr>
  </w:style>
  <w:style w:type="paragraph" w:customStyle="1" w:styleId="truefalsesol">
    <w:name w:val="truefalsesol"/>
    <w:basedOn w:val="Normal"/>
    <w:pPr>
      <w:tabs>
        <w:tab w:val="left" w:pos="240"/>
        <w:tab w:val="left" w:pos="480"/>
      </w:tabs>
      <w:spacing w:after="100" w:line="280" w:lineRule="exact"/>
    </w:pPr>
    <w:rPr>
      <w:sz w:val="22"/>
    </w:rPr>
  </w:style>
  <w:style w:type="paragraph" w:styleId="BodyTextIndent2">
    <w:name w:val="Body Text Indent 2"/>
    <w:basedOn w:val="Normal"/>
    <w:pPr>
      <w:spacing w:line="280" w:lineRule="exact"/>
      <w:ind w:left="720" w:hanging="360"/>
    </w:pPr>
    <w:rPr>
      <w:rFonts w:ascii="Palatino Linotype" w:hAnsi="Palatino Linotype"/>
      <w:i/>
      <w:iCs/>
      <w:sz w:val="22"/>
    </w:rPr>
  </w:style>
  <w:style w:type="paragraph" w:styleId="BodyTextIndent">
    <w:name w:val="Body Text Indent"/>
    <w:basedOn w:val="Normal"/>
    <w:pPr>
      <w:tabs>
        <w:tab w:val="left" w:pos="540"/>
      </w:tabs>
      <w:ind w:left="540" w:hanging="540"/>
    </w:pPr>
    <w:rPr>
      <w:rFonts w:ascii="Times New Roman" w:hAnsi="Times New Roman"/>
    </w:rPr>
  </w:style>
  <w:style w:type="table" w:styleId="TableGrid">
    <w:name w:val="Table Grid"/>
    <w:basedOn w:val="TableNormal"/>
    <w:uiPriority w:val="59"/>
    <w:rsid w:val="004F68E5"/>
    <w:pPr>
      <w:spacing w:line="284"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BB2E49"/>
    <w:rPr>
      <w:rFonts w:ascii="Tahoma" w:hAnsi="Tahoma" w:cs="Tahoma"/>
      <w:sz w:val="16"/>
      <w:szCs w:val="16"/>
    </w:rPr>
  </w:style>
  <w:style w:type="character" w:customStyle="1" w:styleId="FooterChar">
    <w:name w:val="Footer Char"/>
    <w:link w:val="Footer"/>
    <w:rsid w:val="00554820"/>
    <w:rPr>
      <w:rFonts w:ascii="Palatino" w:hAnsi="Palatino"/>
      <w:sz w:val="24"/>
      <w:lang w:val="en-US" w:eastAsia="en-US"/>
    </w:rPr>
  </w:style>
  <w:style w:type="paragraph" w:customStyle="1" w:styleId="bchoptx">
    <w:name w:val="bchop_tx"/>
    <w:basedOn w:val="Normal"/>
    <w:rsid w:val="006A5820"/>
    <w:pPr>
      <w:widowControl w:val="0"/>
      <w:autoSpaceDE w:val="0"/>
      <w:autoSpaceDN w:val="0"/>
      <w:adjustRightInd w:val="0"/>
      <w:spacing w:line="280" w:lineRule="atLeast"/>
      <w:ind w:firstLine="240"/>
      <w:jc w:val="both"/>
    </w:pPr>
    <w:rPr>
      <w:rFonts w:ascii="HelveticaNeueLTStd-Cn" w:hAnsi="HelveticaNeueLTStd-Cn" w:cs="HelveticaNeueLTStd-Cn"/>
      <w:color w:val="000000"/>
      <w:sz w:val="20"/>
      <w:lang w:eastAsia="en-IN" w:bidi="he-IL"/>
    </w:rPr>
  </w:style>
  <w:style w:type="paragraph" w:customStyle="1" w:styleId="bchtxb">
    <w:name w:val="bch_tx.b"/>
    <w:basedOn w:val="Normal"/>
    <w:rsid w:val="00BD7A80"/>
    <w:pPr>
      <w:widowControl w:val="0"/>
      <w:autoSpaceDE w:val="0"/>
      <w:autoSpaceDN w:val="0"/>
      <w:adjustRightInd w:val="0"/>
      <w:spacing w:line="240" w:lineRule="atLeast"/>
      <w:ind w:firstLine="240"/>
      <w:jc w:val="both"/>
    </w:pPr>
    <w:rPr>
      <w:rFonts w:ascii="MinionPro-Regular" w:hAnsi="MinionPro-Regular" w:cs="MinionPro-Regular"/>
      <w:color w:val="000000"/>
      <w:sz w:val="21"/>
      <w:szCs w:val="21"/>
      <w:lang w:eastAsia="en-IN" w:bidi="he-IL"/>
    </w:rPr>
  </w:style>
  <w:style w:type="paragraph" w:customStyle="1" w:styleId="bchtx">
    <w:name w:val="bch_tx"/>
    <w:basedOn w:val="Normal"/>
    <w:rsid w:val="002831CB"/>
    <w:pPr>
      <w:widowControl w:val="0"/>
      <w:autoSpaceDE w:val="0"/>
      <w:autoSpaceDN w:val="0"/>
      <w:adjustRightInd w:val="0"/>
      <w:spacing w:line="240" w:lineRule="atLeast"/>
      <w:jc w:val="both"/>
    </w:pPr>
    <w:rPr>
      <w:rFonts w:ascii="MinionPro-Regular" w:hAnsi="MinionPro-Regular" w:cs="MinionPro-Regular"/>
      <w:color w:val="000000"/>
      <w:sz w:val="21"/>
      <w:szCs w:val="21"/>
      <w:lang w:eastAsia="en-IN" w:bidi="he-IL"/>
    </w:rPr>
  </w:style>
  <w:style w:type="paragraph" w:customStyle="1" w:styleId="bchlb1st">
    <w:name w:val="bch_lb.1st"/>
    <w:basedOn w:val="Normal"/>
    <w:rsid w:val="00EE006F"/>
    <w:pPr>
      <w:widowControl w:val="0"/>
      <w:autoSpaceDE w:val="0"/>
      <w:autoSpaceDN w:val="0"/>
      <w:adjustRightInd w:val="0"/>
      <w:spacing w:before="80" w:line="240" w:lineRule="atLeast"/>
      <w:ind w:left="400" w:hanging="160"/>
      <w:jc w:val="both"/>
    </w:pPr>
    <w:rPr>
      <w:rFonts w:ascii="MinionPro-Regular" w:hAnsi="MinionPro-Regular" w:cs="MinionPro-Regular"/>
      <w:color w:val="000000"/>
      <w:sz w:val="21"/>
      <w:szCs w:val="21"/>
      <w:lang w:eastAsia="en-IN" w:bidi="he-IL"/>
    </w:rPr>
  </w:style>
  <w:style w:type="paragraph" w:customStyle="1" w:styleId="bchlblast">
    <w:name w:val="bch_lb.last"/>
    <w:basedOn w:val="Normal"/>
    <w:rsid w:val="00EE006F"/>
    <w:pPr>
      <w:widowControl w:val="0"/>
      <w:autoSpaceDE w:val="0"/>
      <w:autoSpaceDN w:val="0"/>
      <w:adjustRightInd w:val="0"/>
      <w:spacing w:before="40" w:after="120" w:line="240" w:lineRule="atLeast"/>
      <w:ind w:left="400" w:hanging="160"/>
      <w:jc w:val="both"/>
    </w:pPr>
    <w:rPr>
      <w:rFonts w:ascii="MinionPro-Regular" w:hAnsi="MinionPro-Regular" w:cs="MinionPro-Regular"/>
      <w:color w:val="000000"/>
      <w:sz w:val="21"/>
      <w:szCs w:val="21"/>
      <w:lang w:eastAsia="en-IN" w:bidi="he-IL"/>
    </w:rPr>
  </w:style>
  <w:style w:type="paragraph" w:customStyle="1" w:styleId="bchlb">
    <w:name w:val="bch_lb"/>
    <w:basedOn w:val="Normal"/>
    <w:rsid w:val="00EE006F"/>
    <w:pPr>
      <w:widowControl w:val="0"/>
      <w:autoSpaceDE w:val="0"/>
      <w:autoSpaceDN w:val="0"/>
      <w:adjustRightInd w:val="0"/>
      <w:spacing w:before="40" w:line="240" w:lineRule="atLeast"/>
      <w:ind w:left="400" w:hanging="160"/>
      <w:jc w:val="both"/>
    </w:pPr>
    <w:rPr>
      <w:rFonts w:ascii="MinionPro-Regular" w:hAnsi="MinionPro-Regular" w:cs="MinionPro-Regular"/>
      <w:color w:val="000000"/>
      <w:sz w:val="21"/>
      <w:szCs w:val="21"/>
      <w:lang w:eastAsia="en-IN" w:bidi="he-IL"/>
    </w:rPr>
  </w:style>
  <w:style w:type="paragraph" w:styleId="ListParagraph">
    <w:name w:val="List Paragraph"/>
    <w:basedOn w:val="Normal"/>
    <w:uiPriority w:val="34"/>
    <w:qFormat/>
    <w:rsid w:val="00CB488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5253633">
      <w:bodyDiv w:val="1"/>
      <w:marLeft w:val="0"/>
      <w:marRight w:val="0"/>
      <w:marTop w:val="0"/>
      <w:marBottom w:val="0"/>
      <w:divBdr>
        <w:top w:val="none" w:sz="0" w:space="0" w:color="auto"/>
        <w:left w:val="none" w:sz="0" w:space="0" w:color="auto"/>
        <w:bottom w:val="none" w:sz="0" w:space="0" w:color="auto"/>
        <w:right w:val="none" w:sz="0" w:space="0" w:color="auto"/>
      </w:divBdr>
    </w:div>
    <w:div w:id="1016495856">
      <w:bodyDiv w:val="1"/>
      <w:marLeft w:val="0"/>
      <w:marRight w:val="0"/>
      <w:marTop w:val="0"/>
      <w:marBottom w:val="0"/>
      <w:divBdr>
        <w:top w:val="none" w:sz="0" w:space="0" w:color="auto"/>
        <w:left w:val="none" w:sz="0" w:space="0" w:color="auto"/>
        <w:bottom w:val="none" w:sz="0" w:space="0" w:color="auto"/>
        <w:right w:val="none" w:sz="0" w:space="0" w:color="auto"/>
      </w:divBdr>
    </w:div>
    <w:div w:id="1125269394">
      <w:bodyDiv w:val="1"/>
      <w:marLeft w:val="0"/>
      <w:marRight w:val="0"/>
      <w:marTop w:val="0"/>
      <w:marBottom w:val="0"/>
      <w:divBdr>
        <w:top w:val="none" w:sz="0" w:space="0" w:color="auto"/>
        <w:left w:val="none" w:sz="0" w:space="0" w:color="auto"/>
        <w:bottom w:val="none" w:sz="0" w:space="0" w:color="auto"/>
        <w:right w:val="none" w:sz="0" w:space="0" w:color="auto"/>
      </w:divBdr>
    </w:div>
    <w:div w:id="1199779091">
      <w:bodyDiv w:val="1"/>
      <w:marLeft w:val="0"/>
      <w:marRight w:val="0"/>
      <w:marTop w:val="0"/>
      <w:marBottom w:val="0"/>
      <w:divBdr>
        <w:top w:val="none" w:sz="0" w:space="0" w:color="auto"/>
        <w:left w:val="none" w:sz="0" w:space="0" w:color="auto"/>
        <w:bottom w:val="none" w:sz="0" w:space="0" w:color="auto"/>
        <w:right w:val="none" w:sz="0" w:space="0" w:color="auto"/>
      </w:divBdr>
    </w:div>
    <w:div w:id="1624651242">
      <w:bodyDiv w:val="1"/>
      <w:marLeft w:val="0"/>
      <w:marRight w:val="0"/>
      <w:marTop w:val="0"/>
      <w:marBottom w:val="0"/>
      <w:divBdr>
        <w:top w:val="none" w:sz="0" w:space="0" w:color="auto"/>
        <w:left w:val="none" w:sz="0" w:space="0" w:color="auto"/>
        <w:bottom w:val="none" w:sz="0" w:space="0" w:color="auto"/>
        <w:right w:val="none" w:sz="0" w:space="0" w:color="auto"/>
      </w:divBdr>
    </w:div>
    <w:div w:id="1742824835">
      <w:bodyDiv w:val="1"/>
      <w:marLeft w:val="0"/>
      <w:marRight w:val="0"/>
      <w:marTop w:val="0"/>
      <w:marBottom w:val="0"/>
      <w:divBdr>
        <w:top w:val="none" w:sz="0" w:space="0" w:color="auto"/>
        <w:left w:val="none" w:sz="0" w:space="0" w:color="auto"/>
        <w:bottom w:val="none" w:sz="0" w:space="0" w:color="auto"/>
        <w:right w:val="none" w:sz="0" w:space="0" w:color="auto"/>
      </w:divBdr>
    </w:div>
    <w:div w:id="199513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interac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B737F8-75D8-4C9F-9997-9A9B21454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interacc.dot</Template>
  <TotalTime>228</TotalTime>
  <Pages>11</Pages>
  <Words>3650</Words>
  <Characters>20808</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Chapter 1</vt:lpstr>
    </vt:vector>
  </TitlesOfParts>
  <Company>Jay Tee Graphics Ltd.</Company>
  <LinksUpToDate>false</LinksUpToDate>
  <CharactersWithSpaces>24410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dc:title>
  <dc:subject/>
  <dc:creator>PigpenAndBlondie; Alison Parker</dc:creator>
  <cp:keywords/>
  <cp:lastModifiedBy>Alison Parker</cp:lastModifiedBy>
  <cp:revision>11</cp:revision>
  <cp:lastPrinted>2007-11-15T18:50:00Z</cp:lastPrinted>
  <dcterms:created xsi:type="dcterms:W3CDTF">2016-04-30T22:21:00Z</dcterms:created>
  <dcterms:modified xsi:type="dcterms:W3CDTF">2016-06-01T02:02:00Z</dcterms:modified>
</cp:coreProperties>
</file>